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8E" w:rsidRPr="0055038E" w:rsidRDefault="000143ED" w:rsidP="000143ED">
      <w:pPr>
        <w:jc w:val="center"/>
        <w:rPr>
          <w:b/>
          <w:bCs/>
          <w:sz w:val="28"/>
          <w:szCs w:val="28"/>
        </w:rPr>
      </w:pPr>
      <w:bookmarkStart w:id="0" w:name="_GoBack"/>
      <w:bookmarkEnd w:id="0"/>
      <w:r w:rsidRPr="0055038E">
        <w:rPr>
          <w:b/>
          <w:bCs/>
          <w:sz w:val="28"/>
          <w:szCs w:val="28"/>
        </w:rPr>
        <w:t xml:space="preserve">University of North Carolina, Chapel Hill </w:t>
      </w:r>
    </w:p>
    <w:p w:rsidR="000143ED" w:rsidRPr="0055038E" w:rsidRDefault="000143ED" w:rsidP="000143ED">
      <w:pPr>
        <w:jc w:val="center"/>
        <w:rPr>
          <w:b/>
          <w:bCs/>
          <w:sz w:val="28"/>
          <w:szCs w:val="28"/>
        </w:rPr>
      </w:pPr>
      <w:r w:rsidRPr="0055038E">
        <w:rPr>
          <w:b/>
          <w:bCs/>
          <w:sz w:val="28"/>
          <w:szCs w:val="28"/>
        </w:rPr>
        <w:t>School of Information and Library Science</w:t>
      </w:r>
    </w:p>
    <w:p w:rsidR="000143ED" w:rsidRPr="00181A8E" w:rsidRDefault="000143ED" w:rsidP="000143ED">
      <w:pPr>
        <w:rPr>
          <w:b/>
          <w:bCs/>
        </w:rPr>
      </w:pPr>
    </w:p>
    <w:p w:rsidR="000143ED" w:rsidRPr="00715BD5" w:rsidRDefault="0074703E" w:rsidP="000143ED">
      <w:pPr>
        <w:jc w:val="center"/>
        <w:rPr>
          <w:b/>
          <w:bCs/>
          <w:sz w:val="28"/>
          <w:szCs w:val="28"/>
        </w:rPr>
      </w:pPr>
      <w:r>
        <w:rPr>
          <w:b/>
          <w:bCs/>
          <w:sz w:val="28"/>
          <w:szCs w:val="28"/>
        </w:rPr>
        <w:t>INLS 501</w:t>
      </w:r>
      <w:r w:rsidR="000143ED" w:rsidRPr="00715BD5">
        <w:rPr>
          <w:b/>
          <w:bCs/>
          <w:sz w:val="28"/>
          <w:szCs w:val="28"/>
        </w:rPr>
        <w:t>: Information Resources and Services</w:t>
      </w:r>
      <w:r w:rsidR="000143ED" w:rsidRPr="00715BD5">
        <w:rPr>
          <w:rStyle w:val="FootnoteReference"/>
          <w:b/>
          <w:bCs/>
          <w:sz w:val="28"/>
          <w:szCs w:val="28"/>
        </w:rPr>
        <w:footnoteReference w:id="1"/>
      </w:r>
    </w:p>
    <w:p w:rsidR="000143ED" w:rsidRPr="00715BD5" w:rsidRDefault="00731BF7" w:rsidP="000143ED">
      <w:pPr>
        <w:jc w:val="center"/>
        <w:rPr>
          <w:b/>
          <w:sz w:val="28"/>
          <w:szCs w:val="28"/>
        </w:rPr>
      </w:pPr>
      <w:r>
        <w:rPr>
          <w:b/>
          <w:sz w:val="28"/>
          <w:szCs w:val="28"/>
        </w:rPr>
        <w:t>Spring 2014</w:t>
      </w:r>
      <w:r w:rsidR="000143ED" w:rsidRPr="00715BD5">
        <w:rPr>
          <w:b/>
          <w:sz w:val="28"/>
          <w:szCs w:val="28"/>
        </w:rPr>
        <w:t xml:space="preserve"> Syllabus</w:t>
      </w:r>
    </w:p>
    <w:p w:rsidR="000143ED" w:rsidRPr="00181A8E" w:rsidRDefault="000143ED" w:rsidP="000143ED"/>
    <w:p w:rsidR="000143ED" w:rsidRPr="00181A8E" w:rsidRDefault="000143ED" w:rsidP="000143ED">
      <w:pPr>
        <w:jc w:val="center"/>
      </w:pPr>
      <w:r w:rsidRPr="00181A8E">
        <w:t xml:space="preserve">Course website: </w:t>
      </w:r>
      <w:hyperlink r:id="rId8" w:history="1">
        <w:r w:rsidRPr="00181A8E">
          <w:rPr>
            <w:rStyle w:val="Hyperlink"/>
          </w:rPr>
          <w:t>https://sakai.unc.edu/</w:t>
        </w:r>
      </w:hyperlink>
    </w:p>
    <w:p w:rsidR="000143ED" w:rsidRPr="00F53655" w:rsidRDefault="000143ED" w:rsidP="007D0776">
      <w:pPr>
        <w:pStyle w:val="Heading1"/>
        <w:rPr>
          <w:b/>
        </w:rPr>
      </w:pPr>
      <w:r w:rsidRPr="00F53655">
        <w:rPr>
          <w:b/>
        </w:rPr>
        <w:t>I) Course and Instructor Information</w:t>
      </w:r>
    </w:p>
    <w:p w:rsidR="000143ED" w:rsidRPr="00D370EF" w:rsidRDefault="000143ED" w:rsidP="000143ED">
      <w:r w:rsidRPr="00D370EF">
        <w:t xml:space="preserve">Meeting time: Thursdays, </w:t>
      </w:r>
      <w:r w:rsidR="00817BE2">
        <w:t>2-4:45</w:t>
      </w:r>
    </w:p>
    <w:p w:rsidR="000143ED" w:rsidRPr="00D370EF" w:rsidRDefault="000143ED" w:rsidP="000143ED">
      <w:r w:rsidRPr="00D370EF">
        <w:t xml:space="preserve">Meeting location: </w:t>
      </w:r>
      <w:r w:rsidR="00494711">
        <w:t xml:space="preserve">Manning Hall </w:t>
      </w:r>
      <w:r w:rsidR="00817BE2">
        <w:t>001</w:t>
      </w:r>
    </w:p>
    <w:p w:rsidR="000143ED" w:rsidRPr="00D370EF" w:rsidRDefault="000143ED" w:rsidP="000143ED">
      <w:r w:rsidRPr="00D370EF">
        <w:t>Course credits: 3</w:t>
      </w:r>
    </w:p>
    <w:p w:rsidR="000143ED" w:rsidRPr="00D370EF" w:rsidRDefault="009D2FC1" w:rsidP="000143ED">
      <w:r>
        <w:t>Course prerequisites: Master’s student status</w:t>
      </w:r>
    </w:p>
    <w:p w:rsidR="000143ED" w:rsidRPr="00D370EF" w:rsidRDefault="000143ED" w:rsidP="000143ED"/>
    <w:p w:rsidR="000143ED" w:rsidRPr="00D370EF" w:rsidRDefault="00AF0AEA" w:rsidP="000143ED">
      <w:r>
        <w:t>Instructor</w:t>
      </w:r>
      <w:r w:rsidR="000143ED" w:rsidRPr="00D370EF">
        <w:t>: Alex Poole</w:t>
      </w:r>
    </w:p>
    <w:p w:rsidR="000143ED" w:rsidRPr="00D370EF" w:rsidRDefault="000143ED" w:rsidP="000143ED">
      <w:r w:rsidRPr="00D370EF">
        <w:t>Instructor position: PhD student</w:t>
      </w:r>
    </w:p>
    <w:p w:rsidR="000143ED" w:rsidRPr="00D370EF" w:rsidRDefault="000143ED" w:rsidP="000143ED">
      <w:r w:rsidRPr="00D370EF">
        <w:t>Inst</w:t>
      </w:r>
      <w:r>
        <w:t xml:space="preserve">ructor office: </w:t>
      </w:r>
      <w:r w:rsidR="00AA5F89">
        <w:t>PhDungeon</w:t>
      </w:r>
    </w:p>
    <w:p w:rsidR="004D6F03" w:rsidRDefault="004D6F03" w:rsidP="000143ED">
      <w:r>
        <w:t xml:space="preserve">Instructor website: </w:t>
      </w:r>
    </w:p>
    <w:p w:rsidR="000143ED" w:rsidRPr="00D370EF" w:rsidRDefault="00DA5C1B" w:rsidP="000143ED">
      <w:r>
        <w:t>O</w:t>
      </w:r>
      <w:r w:rsidR="000143ED" w:rsidRPr="00D370EF">
        <w:t>ffice hours: by appointment</w:t>
      </w:r>
    </w:p>
    <w:p w:rsidR="000143ED" w:rsidRPr="00D370EF" w:rsidRDefault="003F5028" w:rsidP="000143ED">
      <w:r>
        <w:t xml:space="preserve">Instructor email: </w:t>
      </w:r>
      <w:r w:rsidR="000143ED" w:rsidRPr="00D370EF">
        <w:t>poole</w:t>
      </w:r>
      <w:r>
        <w:t>.alex</w:t>
      </w:r>
      <w:r w:rsidR="000143ED" w:rsidRPr="00D370EF">
        <w:t>@</w:t>
      </w:r>
      <w:r>
        <w:t>gmail.com</w:t>
      </w:r>
      <w:r w:rsidR="000143ED" w:rsidRPr="00D370EF">
        <w:t xml:space="preserve"> (please allow a</w:t>
      </w:r>
      <w:r w:rsidR="00494711">
        <w:t>t least a 24-</w:t>
      </w:r>
      <w:r w:rsidR="000143ED" w:rsidRPr="00D370EF">
        <w:t>hour turnaround)</w:t>
      </w:r>
    </w:p>
    <w:p w:rsidR="000143ED" w:rsidRPr="00F53655" w:rsidRDefault="000143ED" w:rsidP="007D0776">
      <w:pPr>
        <w:pStyle w:val="Heading1"/>
        <w:rPr>
          <w:b/>
        </w:rPr>
      </w:pPr>
      <w:r w:rsidRPr="00F53655">
        <w:rPr>
          <w:b/>
        </w:rPr>
        <w:t>II) Course description</w:t>
      </w:r>
    </w:p>
    <w:p w:rsidR="000143ED" w:rsidRDefault="000143ED" w:rsidP="000143ED">
      <w:r>
        <w:t>A</w:t>
      </w:r>
      <w:r w:rsidRPr="00E11EA6">
        <w:t xml:space="preserve"> combination of lecture, discussion</w:t>
      </w:r>
      <w:r>
        <w:t>,</w:t>
      </w:r>
      <w:r w:rsidRPr="00E11EA6">
        <w:t xml:space="preserve"> and activity</w:t>
      </w:r>
      <w:r>
        <w:t xml:space="preserve">, this course </w:t>
      </w:r>
      <w:r w:rsidRPr="00E11EA6">
        <w:t>provide</w:t>
      </w:r>
      <w:r>
        <w:t>s</w:t>
      </w:r>
      <w:r w:rsidRPr="00E11EA6">
        <w:t xml:space="preserve"> students with an overview of </w:t>
      </w:r>
      <w:r w:rsidR="00E22570">
        <w:t xml:space="preserve">the </w:t>
      </w:r>
      <w:r w:rsidRPr="00E11EA6">
        <w:t>analysis, use</w:t>
      </w:r>
      <w:r>
        <w:t>,</w:t>
      </w:r>
      <w:r w:rsidRPr="00E11EA6">
        <w:t xml:space="preserve"> and evaluation of information </w:t>
      </w:r>
      <w:r>
        <w:t xml:space="preserve">resources, </w:t>
      </w:r>
      <w:r w:rsidRPr="00E11EA6">
        <w:t>services</w:t>
      </w:r>
      <w:r>
        <w:t>, and systems</w:t>
      </w:r>
      <w:r w:rsidRPr="00E11EA6">
        <w:t xml:space="preserve">. </w:t>
      </w:r>
      <w:r>
        <w:t>It covers the following topics</w:t>
      </w:r>
      <w:r w:rsidR="00E22570">
        <w:t xml:space="preserve"> in varying levels of depth: </w:t>
      </w:r>
      <w:r w:rsidRPr="003176B6">
        <w:t>the reference function and the role of libraries; the history and future of reference service; instructional services, basic database searching, major categories of information and referral tools, including dictionaries, encyclopedias, directories, geographical materials, and other ready-reference tools; and reference interviews and consultations.</w:t>
      </w:r>
    </w:p>
    <w:p w:rsidR="000143ED" w:rsidRPr="00F53655" w:rsidRDefault="000143ED" w:rsidP="007D0776">
      <w:pPr>
        <w:pStyle w:val="Heading1"/>
        <w:rPr>
          <w:b/>
        </w:rPr>
      </w:pPr>
      <w:r w:rsidRPr="00F53655">
        <w:rPr>
          <w:b/>
        </w:rPr>
        <w:t>III) Course objectives</w:t>
      </w:r>
    </w:p>
    <w:p w:rsidR="000143ED" w:rsidRDefault="000143ED" w:rsidP="000143ED">
      <w:pPr>
        <w:pStyle w:val="ListParagraph"/>
        <w:numPr>
          <w:ilvl w:val="0"/>
          <w:numId w:val="1"/>
        </w:numPr>
        <w:rPr>
          <w:rFonts w:eastAsia="Times New Roman"/>
          <w:szCs w:val="24"/>
        </w:rPr>
      </w:pPr>
      <w:r w:rsidRPr="005A7BCA">
        <w:rPr>
          <w:rFonts w:eastAsia="Times New Roman"/>
          <w:szCs w:val="24"/>
        </w:rPr>
        <w:t xml:space="preserve">Understand the position of reference in the larger LIS landscape </w:t>
      </w:r>
    </w:p>
    <w:p w:rsidR="000143ED" w:rsidRPr="005A7BCA" w:rsidRDefault="000143ED" w:rsidP="000143ED">
      <w:pPr>
        <w:pStyle w:val="ListParagraph"/>
        <w:numPr>
          <w:ilvl w:val="0"/>
          <w:numId w:val="1"/>
        </w:numPr>
        <w:rPr>
          <w:rFonts w:eastAsia="Times New Roman"/>
          <w:szCs w:val="24"/>
        </w:rPr>
      </w:pPr>
      <w:r>
        <w:rPr>
          <w:rFonts w:eastAsia="Times New Roman"/>
          <w:szCs w:val="24"/>
        </w:rPr>
        <w:t>C</w:t>
      </w:r>
      <w:r w:rsidRPr="00352F1C">
        <w:rPr>
          <w:rFonts w:eastAsia="Times New Roman"/>
          <w:szCs w:val="24"/>
        </w:rPr>
        <w:t>omprehend public service f</w:t>
      </w:r>
      <w:r>
        <w:rPr>
          <w:rFonts w:eastAsia="Times New Roman"/>
          <w:szCs w:val="24"/>
        </w:rPr>
        <w:t xml:space="preserve">unctions in </w:t>
      </w:r>
      <w:r w:rsidRPr="00352F1C">
        <w:rPr>
          <w:rFonts w:eastAsia="Times New Roman"/>
          <w:szCs w:val="24"/>
        </w:rPr>
        <w:t>information agencies</w:t>
      </w:r>
    </w:p>
    <w:p w:rsidR="000143ED" w:rsidRDefault="000143ED" w:rsidP="000143ED">
      <w:pPr>
        <w:numPr>
          <w:ilvl w:val="0"/>
          <w:numId w:val="1"/>
        </w:numPr>
        <w:rPr>
          <w:rFonts w:eastAsia="Times New Roman"/>
          <w:szCs w:val="24"/>
        </w:rPr>
      </w:pPr>
      <w:r>
        <w:rPr>
          <w:rFonts w:eastAsia="Times New Roman"/>
          <w:szCs w:val="24"/>
        </w:rPr>
        <w:t xml:space="preserve">Understand </w:t>
      </w:r>
      <w:r w:rsidRPr="00E11EA6">
        <w:rPr>
          <w:rFonts w:eastAsia="Times New Roman"/>
          <w:szCs w:val="24"/>
        </w:rPr>
        <w:t xml:space="preserve">the characteristics </w:t>
      </w:r>
      <w:r>
        <w:rPr>
          <w:rFonts w:eastAsia="Times New Roman"/>
          <w:szCs w:val="24"/>
        </w:rPr>
        <w:t xml:space="preserve">and functions </w:t>
      </w:r>
      <w:r w:rsidRPr="00E11EA6">
        <w:rPr>
          <w:rFonts w:eastAsia="Times New Roman"/>
          <w:szCs w:val="24"/>
        </w:rPr>
        <w:t>of reference services</w:t>
      </w:r>
      <w:r>
        <w:rPr>
          <w:rFonts w:eastAsia="Times New Roman"/>
          <w:szCs w:val="24"/>
        </w:rPr>
        <w:t>, reference sources,</w:t>
      </w:r>
      <w:r w:rsidRPr="00E11EA6">
        <w:rPr>
          <w:rFonts w:eastAsia="Times New Roman"/>
          <w:szCs w:val="24"/>
        </w:rPr>
        <w:t xml:space="preserve"> and reference work</w:t>
      </w:r>
      <w:r>
        <w:rPr>
          <w:rFonts w:eastAsia="Times New Roman"/>
          <w:szCs w:val="24"/>
        </w:rPr>
        <w:t xml:space="preserve"> across a variety of media</w:t>
      </w:r>
    </w:p>
    <w:p w:rsidR="000143ED" w:rsidRPr="00E11EA6" w:rsidRDefault="000143ED" w:rsidP="000143ED">
      <w:pPr>
        <w:numPr>
          <w:ilvl w:val="0"/>
          <w:numId w:val="1"/>
        </w:numPr>
        <w:rPr>
          <w:rFonts w:eastAsia="Times New Roman"/>
          <w:szCs w:val="24"/>
        </w:rPr>
      </w:pPr>
      <w:r>
        <w:rPr>
          <w:rFonts w:eastAsia="Times New Roman"/>
          <w:szCs w:val="24"/>
        </w:rPr>
        <w:t>Use</w:t>
      </w:r>
      <w:r w:rsidRPr="00E11EA6">
        <w:rPr>
          <w:rFonts w:eastAsia="Times New Roman"/>
          <w:szCs w:val="24"/>
        </w:rPr>
        <w:t>, compare</w:t>
      </w:r>
      <w:r>
        <w:rPr>
          <w:rFonts w:eastAsia="Times New Roman"/>
          <w:szCs w:val="24"/>
        </w:rPr>
        <w:t>,</w:t>
      </w:r>
      <w:r w:rsidRPr="00E11EA6">
        <w:rPr>
          <w:rFonts w:eastAsia="Times New Roman"/>
          <w:szCs w:val="24"/>
        </w:rPr>
        <w:t xml:space="preserve"> and evaluate a variety of reference sources</w:t>
      </w:r>
      <w:r>
        <w:rPr>
          <w:rFonts w:eastAsia="Times New Roman"/>
          <w:szCs w:val="24"/>
        </w:rPr>
        <w:t xml:space="preserve"> and services</w:t>
      </w:r>
    </w:p>
    <w:p w:rsidR="000143ED" w:rsidRDefault="000143ED" w:rsidP="000143ED">
      <w:pPr>
        <w:numPr>
          <w:ilvl w:val="0"/>
          <w:numId w:val="1"/>
        </w:numPr>
        <w:rPr>
          <w:rFonts w:eastAsia="Times New Roman"/>
          <w:szCs w:val="24"/>
        </w:rPr>
      </w:pPr>
      <w:r w:rsidRPr="00352F1C">
        <w:rPr>
          <w:rFonts w:eastAsia="Times New Roman"/>
          <w:szCs w:val="24"/>
        </w:rPr>
        <w:t xml:space="preserve">Understand the steps of the reference transaction and the role of the </w:t>
      </w:r>
      <w:r w:rsidRPr="00E11EA6">
        <w:rPr>
          <w:rFonts w:eastAsia="Times New Roman"/>
          <w:szCs w:val="24"/>
        </w:rPr>
        <w:t>reference interview</w:t>
      </w:r>
    </w:p>
    <w:p w:rsidR="000143ED" w:rsidRPr="00E94CB5" w:rsidRDefault="000143ED" w:rsidP="000143ED">
      <w:pPr>
        <w:numPr>
          <w:ilvl w:val="0"/>
          <w:numId w:val="1"/>
        </w:numPr>
        <w:rPr>
          <w:rFonts w:eastAsia="Times New Roman"/>
          <w:szCs w:val="24"/>
        </w:rPr>
      </w:pPr>
      <w:r w:rsidRPr="00E94CB5">
        <w:rPr>
          <w:rFonts w:eastAsia="Times New Roman"/>
          <w:szCs w:val="24"/>
        </w:rPr>
        <w:t>Grapple with issues surrounding specific user populations, ethics, and censorship</w:t>
      </w:r>
    </w:p>
    <w:p w:rsidR="000143ED" w:rsidRDefault="000143ED" w:rsidP="000143ED">
      <w:pPr>
        <w:numPr>
          <w:ilvl w:val="0"/>
          <w:numId w:val="1"/>
        </w:numPr>
        <w:rPr>
          <w:rFonts w:eastAsia="Times New Roman"/>
          <w:szCs w:val="24"/>
        </w:rPr>
      </w:pPr>
      <w:r>
        <w:rPr>
          <w:rFonts w:eastAsia="Times New Roman"/>
          <w:szCs w:val="24"/>
        </w:rPr>
        <w:t>Discern</w:t>
      </w:r>
      <w:r w:rsidRPr="00E11EA6">
        <w:rPr>
          <w:rFonts w:eastAsia="Times New Roman"/>
          <w:szCs w:val="24"/>
        </w:rPr>
        <w:t xml:space="preserve"> the role of instruction </w:t>
      </w:r>
      <w:r>
        <w:rPr>
          <w:rFonts w:eastAsia="Times New Roman"/>
          <w:szCs w:val="24"/>
        </w:rPr>
        <w:t xml:space="preserve">and other forms of information provision </w:t>
      </w:r>
      <w:r w:rsidRPr="00E11EA6">
        <w:rPr>
          <w:rFonts w:eastAsia="Times New Roman"/>
          <w:szCs w:val="24"/>
        </w:rPr>
        <w:t>in referenc</w:t>
      </w:r>
      <w:r>
        <w:rPr>
          <w:rFonts w:eastAsia="Times New Roman"/>
          <w:szCs w:val="24"/>
        </w:rPr>
        <w:t>e services</w:t>
      </w:r>
    </w:p>
    <w:p w:rsidR="000143ED" w:rsidRPr="00352F1C" w:rsidRDefault="000143ED" w:rsidP="000143ED">
      <w:pPr>
        <w:numPr>
          <w:ilvl w:val="0"/>
          <w:numId w:val="1"/>
        </w:numPr>
        <w:rPr>
          <w:rFonts w:eastAsia="Times New Roman"/>
          <w:szCs w:val="24"/>
        </w:rPr>
      </w:pPr>
      <w:r w:rsidRPr="00352F1C">
        <w:rPr>
          <w:rFonts w:eastAsia="Times New Roman"/>
          <w:szCs w:val="24"/>
        </w:rPr>
        <w:t>Develop standards of judgment for evaluating and selecting materials to support a user- oriented service</w:t>
      </w:r>
    </w:p>
    <w:p w:rsidR="000143ED" w:rsidRPr="00352F1C" w:rsidRDefault="000143ED" w:rsidP="000143ED">
      <w:pPr>
        <w:numPr>
          <w:ilvl w:val="0"/>
          <w:numId w:val="1"/>
        </w:numPr>
        <w:rPr>
          <w:rFonts w:eastAsia="Times New Roman"/>
          <w:szCs w:val="24"/>
        </w:rPr>
      </w:pPr>
      <w:r w:rsidRPr="00352F1C">
        <w:rPr>
          <w:rFonts w:eastAsia="Times New Roman"/>
          <w:szCs w:val="24"/>
        </w:rPr>
        <w:lastRenderedPageBreak/>
        <w:t>Learn basic electronic database searching skills</w:t>
      </w:r>
    </w:p>
    <w:p w:rsidR="000143ED" w:rsidRPr="00E94CB5" w:rsidRDefault="000143ED" w:rsidP="000143ED">
      <w:pPr>
        <w:numPr>
          <w:ilvl w:val="0"/>
          <w:numId w:val="1"/>
        </w:numPr>
        <w:rPr>
          <w:rFonts w:eastAsia="Times New Roman"/>
          <w:szCs w:val="24"/>
        </w:rPr>
      </w:pPr>
      <w:r w:rsidRPr="00E94CB5">
        <w:rPr>
          <w:rFonts w:eastAsia="Times New Roman"/>
          <w:szCs w:val="24"/>
        </w:rPr>
        <w:t>Create a reference resource</w:t>
      </w:r>
    </w:p>
    <w:p w:rsidR="000143ED" w:rsidRDefault="000143ED" w:rsidP="000143ED"/>
    <w:p w:rsidR="000143ED" w:rsidRDefault="000143ED" w:rsidP="000143ED">
      <w:r w:rsidRPr="009E3BD1">
        <w:t>The objectives of the course will be achieved through lectures, class discussion, presentations, assigned and suggested readings; examination of key information tools and sources; team project activities; class visits; and guest speakers.</w:t>
      </w:r>
    </w:p>
    <w:p w:rsidR="000143ED" w:rsidRPr="00F53655" w:rsidRDefault="000143ED" w:rsidP="007D0776">
      <w:pPr>
        <w:pStyle w:val="Heading1"/>
        <w:rPr>
          <w:b/>
        </w:rPr>
      </w:pPr>
      <w:r w:rsidRPr="00F53655">
        <w:rPr>
          <w:b/>
        </w:rPr>
        <w:t>IV) Course readings</w:t>
      </w:r>
    </w:p>
    <w:p w:rsidR="000143ED" w:rsidRPr="00D370EF" w:rsidRDefault="000143ED" w:rsidP="000143ED">
      <w:r>
        <w:t xml:space="preserve">This course does not use a textbook; rather, it relies heavily upon </w:t>
      </w:r>
      <w:r w:rsidRPr="00D370EF">
        <w:t xml:space="preserve">journal articles. </w:t>
      </w:r>
      <w:r w:rsidR="00FA7DA8">
        <w:t>As aspiring reference professionals, you are expected to locate the readings yourselves.</w:t>
      </w:r>
    </w:p>
    <w:p w:rsidR="000143ED" w:rsidRPr="00D370EF" w:rsidRDefault="000143ED" w:rsidP="000143ED"/>
    <w:p w:rsidR="000143ED" w:rsidRDefault="000143ED" w:rsidP="000143ED">
      <w:r w:rsidRPr="00D370EF">
        <w:t>Useful supplementary resources</w:t>
      </w:r>
      <w:r>
        <w:t xml:space="preserve"> include: </w:t>
      </w:r>
    </w:p>
    <w:p w:rsidR="000143ED" w:rsidRDefault="000143ED" w:rsidP="00E06847">
      <w:pPr>
        <w:pStyle w:val="ListParagraph"/>
        <w:numPr>
          <w:ilvl w:val="0"/>
          <w:numId w:val="3"/>
        </w:numPr>
      </w:pPr>
      <w:r>
        <w:t>Bopp, Richard E. and Linda C. Smith. (20</w:t>
      </w:r>
      <w:r w:rsidR="00E06847">
        <w:t>1</w:t>
      </w:r>
      <w:r>
        <w:t xml:space="preserve">1). </w:t>
      </w:r>
      <w:r w:rsidRPr="00E06847">
        <w:rPr>
          <w:i/>
        </w:rPr>
        <w:t>Reference and Informat</w:t>
      </w:r>
      <w:r w:rsidR="00E06847" w:rsidRPr="00E06847">
        <w:rPr>
          <w:i/>
        </w:rPr>
        <w:t>ion Services: An Introduction</w:t>
      </w:r>
      <w:r w:rsidR="00E06847">
        <w:t>, 4</w:t>
      </w:r>
      <w:r w:rsidR="00E06847" w:rsidRPr="00E06847">
        <w:rPr>
          <w:vertAlign w:val="superscript"/>
        </w:rPr>
        <w:t>th</w:t>
      </w:r>
      <w:r w:rsidR="00E06847">
        <w:t xml:space="preserve"> </w:t>
      </w:r>
      <w:r>
        <w:t>ed. Englewood, CO: Libraries Unlimited.</w:t>
      </w:r>
    </w:p>
    <w:p w:rsidR="000143ED" w:rsidRDefault="000143ED" w:rsidP="000143ED">
      <w:pPr>
        <w:pStyle w:val="ListParagraph"/>
        <w:numPr>
          <w:ilvl w:val="0"/>
          <w:numId w:val="3"/>
        </w:numPr>
      </w:pPr>
      <w:r>
        <w:t xml:space="preserve">Katz, William A. (2002). </w:t>
      </w:r>
      <w:r w:rsidRPr="00E06847">
        <w:rPr>
          <w:i/>
        </w:rPr>
        <w:t>Introduction to Reference Work, Volume I: Basic Information Sources</w:t>
      </w:r>
      <w:r>
        <w:t>. 8th Ed. New York: McGraw-Hill.</w:t>
      </w:r>
    </w:p>
    <w:p w:rsidR="000143ED" w:rsidRDefault="000143ED" w:rsidP="000143ED">
      <w:pPr>
        <w:pStyle w:val="ListParagraph"/>
        <w:numPr>
          <w:ilvl w:val="0"/>
          <w:numId w:val="3"/>
        </w:numPr>
      </w:pPr>
      <w:r>
        <w:t xml:space="preserve">Katz, William A. (2002). </w:t>
      </w:r>
      <w:r w:rsidRPr="00E06847">
        <w:rPr>
          <w:i/>
        </w:rPr>
        <w:t>Introduction to Reference Work, Volume II: Reference Services and Reference Processes</w:t>
      </w:r>
      <w:r>
        <w:t>. 8th Ed. New York: McGraw</w:t>
      </w:r>
      <w:r w:rsidRPr="00E06847">
        <w:rPr>
          <w:rFonts w:ascii="MS Mincho" w:eastAsia="MS Mincho" w:hAnsi="MS Mincho" w:cs="MS Mincho" w:hint="eastAsia"/>
        </w:rPr>
        <w:t>‑</w:t>
      </w:r>
      <w:r>
        <w:t>Hill.</w:t>
      </w:r>
    </w:p>
    <w:p w:rsidR="000143ED" w:rsidRDefault="000143ED" w:rsidP="000143ED"/>
    <w:p w:rsidR="000143ED" w:rsidRDefault="000143ED" w:rsidP="000143ED">
      <w:r>
        <w:t>Journals dedicated to reference:</w:t>
      </w:r>
    </w:p>
    <w:p w:rsidR="000143ED" w:rsidRDefault="000143ED" w:rsidP="00E06847">
      <w:pPr>
        <w:pStyle w:val="ListParagraph"/>
        <w:numPr>
          <w:ilvl w:val="0"/>
          <w:numId w:val="4"/>
        </w:numPr>
      </w:pPr>
      <w:r w:rsidRPr="00E06847">
        <w:rPr>
          <w:i/>
        </w:rPr>
        <w:t>Reference &amp; User Services Quarterly</w:t>
      </w:r>
      <w:r>
        <w:t xml:space="preserve"> (RUSA’s journal, formerly titled </w:t>
      </w:r>
      <w:r w:rsidRPr="00E06847">
        <w:rPr>
          <w:i/>
        </w:rPr>
        <w:t>RQ</w:t>
      </w:r>
      <w:r>
        <w:t xml:space="preserve"> (</w:t>
      </w:r>
      <w:r w:rsidRPr="00E22570">
        <w:rPr>
          <w:i/>
        </w:rPr>
        <w:t>Reference</w:t>
      </w:r>
      <w:r>
        <w:t xml:space="preserve"> </w:t>
      </w:r>
      <w:r w:rsidRPr="00E22570">
        <w:rPr>
          <w:i/>
        </w:rPr>
        <w:t>Quarterly</w:t>
      </w:r>
      <w:r>
        <w:t>))</w:t>
      </w:r>
    </w:p>
    <w:p w:rsidR="000143ED" w:rsidRPr="00E06847" w:rsidRDefault="000143ED" w:rsidP="00E06847">
      <w:pPr>
        <w:pStyle w:val="ListParagraph"/>
        <w:numPr>
          <w:ilvl w:val="0"/>
          <w:numId w:val="4"/>
        </w:numPr>
        <w:rPr>
          <w:i/>
        </w:rPr>
      </w:pPr>
      <w:r w:rsidRPr="00E06847">
        <w:rPr>
          <w:i/>
        </w:rPr>
        <w:t>Reference Services Review</w:t>
      </w:r>
    </w:p>
    <w:p w:rsidR="000143ED" w:rsidRPr="00E06847" w:rsidRDefault="000143ED" w:rsidP="00E06847">
      <w:pPr>
        <w:pStyle w:val="ListParagraph"/>
        <w:numPr>
          <w:ilvl w:val="0"/>
          <w:numId w:val="4"/>
        </w:numPr>
        <w:rPr>
          <w:i/>
        </w:rPr>
      </w:pPr>
      <w:r w:rsidRPr="00E06847">
        <w:rPr>
          <w:i/>
        </w:rPr>
        <w:t>The Reference Librarian</w:t>
      </w:r>
    </w:p>
    <w:p w:rsidR="000143ED" w:rsidRPr="00F53655" w:rsidRDefault="00E06847" w:rsidP="007D0776">
      <w:pPr>
        <w:pStyle w:val="Heading1"/>
        <w:rPr>
          <w:b/>
        </w:rPr>
      </w:pPr>
      <w:r w:rsidRPr="00F53655">
        <w:rPr>
          <w:b/>
        </w:rPr>
        <w:t xml:space="preserve">V) </w:t>
      </w:r>
      <w:r w:rsidR="000143ED" w:rsidRPr="00F53655">
        <w:rPr>
          <w:b/>
        </w:rPr>
        <w:t>Course assignments and rubrics</w:t>
      </w:r>
    </w:p>
    <w:p w:rsidR="000143ED" w:rsidRDefault="000143ED" w:rsidP="000143ED"/>
    <w:p w:rsidR="000143ED" w:rsidRDefault="000143ED" w:rsidP="000143ED">
      <w:r w:rsidRPr="009E3BD1">
        <w:t>Throughout the term, you will receive assignments designed to familiarize you with sources, search methodologies, and the foundations of reference service.</w:t>
      </w:r>
    </w:p>
    <w:p w:rsidR="000143ED" w:rsidRDefault="000143ED" w:rsidP="000143ED"/>
    <w:p w:rsidR="00116BC6" w:rsidRDefault="000143ED" w:rsidP="00116BC6">
      <w:r w:rsidRPr="008F1506">
        <w:t xml:space="preserve">Please submit each written assignment through the course Sakai site </w:t>
      </w:r>
      <w:r w:rsidR="00116BC6" w:rsidRPr="008F1506">
        <w:t xml:space="preserve">AND to me in paper </w:t>
      </w:r>
      <w:r w:rsidRPr="008F1506">
        <w:t xml:space="preserve">by the BEGINNING </w:t>
      </w:r>
      <w:r w:rsidR="00116BC6" w:rsidRPr="008F1506">
        <w:t>of the class on which it is due.</w:t>
      </w:r>
      <w:r w:rsidR="00116BC6">
        <w:t xml:space="preserve"> </w:t>
      </w:r>
      <w:r w:rsidR="00116BC6" w:rsidRPr="00181A8E">
        <w:t xml:space="preserve">Unless discussed with me beforehand, late assignments will be penalized </w:t>
      </w:r>
      <w:r w:rsidR="00116BC6">
        <w:t xml:space="preserve">25% of the assignment’s total number of points for each day they are late. If you have a question about your grade, please do not hesitate to contact me. That said, I reserve the right to raise or to lower your grade. </w:t>
      </w:r>
    </w:p>
    <w:p w:rsidR="00116BC6" w:rsidRDefault="00116BC6" w:rsidP="00116BC6"/>
    <w:p w:rsidR="00116BC6" w:rsidRPr="00116BC6" w:rsidRDefault="00116BC6" w:rsidP="00116BC6">
      <w:r w:rsidRPr="00116BC6">
        <w:t xml:space="preserve">Please use </w:t>
      </w:r>
      <w:r w:rsidR="007D0776">
        <w:t xml:space="preserve">a </w:t>
      </w:r>
      <w:r w:rsidR="0093778E">
        <w:t>consistent</w:t>
      </w:r>
      <w:r w:rsidR="007D0776">
        <w:t xml:space="preserve"> citation </w:t>
      </w:r>
      <w:r w:rsidR="001D01E2">
        <w:t xml:space="preserve">style for </w:t>
      </w:r>
      <w:r w:rsidR="007D0776">
        <w:t>assignments</w:t>
      </w:r>
      <w:r w:rsidR="0093778E">
        <w:t xml:space="preserve">, whether APA, Chicago, </w:t>
      </w:r>
      <w:r w:rsidR="007D0776">
        <w:t>etc.</w:t>
      </w:r>
      <w:r w:rsidRPr="00116BC6">
        <w:t xml:space="preserve"> For group work, please indicate the names of each contributor, but only submit one copy of the assignment per team. Team effort should be evident in all group work.</w:t>
      </w:r>
    </w:p>
    <w:p w:rsidR="000143ED" w:rsidRPr="00181A8E" w:rsidRDefault="000143ED" w:rsidP="000143ED"/>
    <w:p w:rsidR="000143ED" w:rsidRPr="00181A8E" w:rsidRDefault="000143ED" w:rsidP="000143ED">
      <w:r w:rsidRPr="00181A8E">
        <w:rPr>
          <w:bCs/>
        </w:rPr>
        <w:t>Special Needs and Students with Disabilities</w:t>
      </w:r>
      <w:r w:rsidRPr="00181A8E">
        <w:t>: If you need an accommodation for a disability or have any other special need, please make an appointment to discuss this with me early in the semester. My office hours and contact information are listed at the beginning of this syllabus.</w:t>
      </w:r>
    </w:p>
    <w:p w:rsidR="00455752" w:rsidRDefault="00455752" w:rsidP="000143ED"/>
    <w:p w:rsidR="000824D8" w:rsidRPr="000824D8" w:rsidRDefault="000824D8" w:rsidP="000143ED">
      <w:pPr>
        <w:rPr>
          <w:b/>
        </w:rPr>
      </w:pPr>
      <w:r w:rsidRPr="000824D8">
        <w:rPr>
          <w:b/>
        </w:rPr>
        <w:t>***I reserve the right to give brief pop quizzes based on the session’s reading.</w:t>
      </w:r>
    </w:p>
    <w:p w:rsidR="000824D8" w:rsidRDefault="000824D8" w:rsidP="000143ED"/>
    <w:p w:rsidR="00455752" w:rsidRPr="00F53655" w:rsidRDefault="005C4EB6" w:rsidP="0093778E">
      <w:pPr>
        <w:pStyle w:val="Heading2"/>
        <w:rPr>
          <w:b/>
        </w:rPr>
      </w:pPr>
      <w:r w:rsidRPr="00F53655">
        <w:rPr>
          <w:b/>
        </w:rPr>
        <w:t xml:space="preserve">1) </w:t>
      </w:r>
      <w:r w:rsidR="00455752" w:rsidRPr="00F53655">
        <w:rPr>
          <w:b/>
        </w:rPr>
        <w:t xml:space="preserve">Reference Desk Observation Report (due </w:t>
      </w:r>
      <w:r w:rsidR="00D53CA1" w:rsidRPr="00F53655">
        <w:rPr>
          <w:b/>
        </w:rPr>
        <w:t>2</w:t>
      </w:r>
      <w:r w:rsidR="002B24C2" w:rsidRPr="00F53655">
        <w:rPr>
          <w:b/>
        </w:rPr>
        <w:t>3 January</w:t>
      </w:r>
      <w:r w:rsidR="00D53CA1" w:rsidRPr="00F53655">
        <w:rPr>
          <w:b/>
        </w:rPr>
        <w:t>;</w:t>
      </w:r>
      <w:r w:rsidR="00455752" w:rsidRPr="00F53655">
        <w:rPr>
          <w:b/>
        </w:rPr>
        <w:t xml:space="preserve"> 10</w:t>
      </w:r>
      <w:r w:rsidR="00C200E2" w:rsidRPr="00F53655">
        <w:rPr>
          <w:b/>
        </w:rPr>
        <w:t>% of final grade</w:t>
      </w:r>
      <w:r w:rsidR="00455752" w:rsidRPr="00F53655">
        <w:rPr>
          <w:b/>
        </w:rPr>
        <w:t>)</w:t>
      </w:r>
      <w:r w:rsidR="008F1506" w:rsidRPr="00F53655">
        <w:rPr>
          <w:b/>
        </w:rPr>
        <w:t>:</w:t>
      </w:r>
    </w:p>
    <w:p w:rsidR="00455752" w:rsidRDefault="00455752" w:rsidP="00455752">
      <w:r>
        <w:t>During our tour of Davis Library Reference, take notes about the reference environment</w:t>
      </w:r>
      <w:r w:rsidRPr="006E2E34">
        <w:t>. Think of questions such as the following</w:t>
      </w:r>
      <w:r w:rsidR="006E2E34" w:rsidRPr="006E2E34">
        <w:t>:</w:t>
      </w:r>
      <w:r w:rsidRPr="006E2E34">
        <w:t xml:space="preserve"> where </w:t>
      </w:r>
      <w:r w:rsidR="006E2E34" w:rsidRPr="006E2E34">
        <w:t xml:space="preserve">is </w:t>
      </w:r>
      <w:r w:rsidRPr="006E2E34">
        <w:t xml:space="preserve">the reference desk is? </w:t>
      </w:r>
      <w:r w:rsidR="006E2E34" w:rsidRPr="006E2E34">
        <w:t xml:space="preserve">Why do you think it is situated where it is? How is it configured? </w:t>
      </w:r>
      <w:r w:rsidR="001D01E2">
        <w:t xml:space="preserve">What objects are around it? </w:t>
      </w:r>
      <w:r w:rsidRPr="006E2E34">
        <w:t xml:space="preserve">What signage is available? </w:t>
      </w:r>
      <w:r w:rsidR="006E2E34" w:rsidRPr="006E2E34">
        <w:t xml:space="preserve">Who is working there? How do you know who they are? What are those staffing the desk doing (or not doing)? Would a patron </w:t>
      </w:r>
      <w:r w:rsidRPr="006E2E34">
        <w:t xml:space="preserve">where </w:t>
      </w:r>
      <w:r w:rsidR="006E2E34" w:rsidRPr="006E2E34">
        <w:t xml:space="preserve">and who </w:t>
      </w:r>
      <w:r w:rsidRPr="006E2E34">
        <w:t xml:space="preserve">to ask their reference question? </w:t>
      </w:r>
      <w:r w:rsidR="006E2E34" w:rsidRPr="006E2E34">
        <w:t>How would you feel about approaching the desk to ask a question? Overall, what do you think the advantages and disadvantages are of Davis Reference’s current model/setup? What would you keep the same? W</w:t>
      </w:r>
      <w:r w:rsidRPr="006E2E34">
        <w:t>hat would you change? Why?</w:t>
      </w:r>
      <w:r>
        <w:t xml:space="preserve"> </w:t>
      </w:r>
    </w:p>
    <w:p w:rsidR="00455752" w:rsidRDefault="00455752" w:rsidP="00455752"/>
    <w:p w:rsidR="00455752" w:rsidRDefault="00455752" w:rsidP="000143ED">
      <w:r>
        <w:t>Using evidence from your tour</w:t>
      </w:r>
      <w:r w:rsidR="003521E5">
        <w:t xml:space="preserve"> and from the two readings (</w:t>
      </w:r>
      <w:r w:rsidR="003521E5" w:rsidRPr="003521E5">
        <w:t>RUSA</w:t>
      </w:r>
      <w:r w:rsidR="003521E5">
        <w:t>’s</w:t>
      </w:r>
      <w:r w:rsidR="003521E5" w:rsidRPr="003521E5">
        <w:t xml:space="preserve"> Guidelines for Behavioral Performance of Reference and Information Service Providers</w:t>
      </w:r>
      <w:r w:rsidR="003521E5">
        <w:t xml:space="preserve"> and RUSA’s Definitions of Reference) </w:t>
      </w:r>
      <w:r>
        <w:t>to underpin your a</w:t>
      </w:r>
      <w:r w:rsidR="003521E5">
        <w:t>ssertions</w:t>
      </w:r>
      <w:r>
        <w:t>, please write a</w:t>
      </w:r>
      <w:r w:rsidR="00A526AE">
        <w:t>n</w:t>
      </w:r>
      <w:r>
        <w:t xml:space="preserve"> </w:t>
      </w:r>
      <w:r w:rsidR="001D01E2">
        <w:t xml:space="preserve">analysis </w:t>
      </w:r>
      <w:r w:rsidR="00A526AE">
        <w:t>(approximately 1,500</w:t>
      </w:r>
      <w:r w:rsidR="00E32636">
        <w:t xml:space="preserve"> words</w:t>
      </w:r>
      <w:r w:rsidR="00A526AE">
        <w:t xml:space="preserve">) </w:t>
      </w:r>
      <w:r>
        <w:t>of your observations about the reference desk at the Davis Library</w:t>
      </w:r>
      <w:r w:rsidR="008F1506">
        <w:t xml:space="preserve">. </w:t>
      </w:r>
      <w:r w:rsidR="00A526AE">
        <w:t>Y</w:t>
      </w:r>
      <w:r w:rsidR="008F1506">
        <w:t>ou will need to return at least once to the library to complete your observations and to collect an appropriate amount of information.</w:t>
      </w:r>
      <w:r w:rsidR="006E2E34">
        <w:t xml:space="preserve"> Please avoid mere description—connect that description to analysis and explanation. </w:t>
      </w:r>
    </w:p>
    <w:p w:rsidR="008F1506" w:rsidRDefault="008F1506" w:rsidP="000143ED"/>
    <w:p w:rsidR="008F1506" w:rsidRPr="00F53655" w:rsidRDefault="005C4EB6" w:rsidP="0093778E">
      <w:pPr>
        <w:pStyle w:val="Heading2"/>
        <w:rPr>
          <w:b/>
        </w:rPr>
      </w:pPr>
      <w:r w:rsidRPr="00F53655">
        <w:rPr>
          <w:b/>
        </w:rPr>
        <w:t xml:space="preserve">2) </w:t>
      </w:r>
      <w:r w:rsidR="008F1506" w:rsidRPr="00F53655">
        <w:rPr>
          <w:b/>
        </w:rPr>
        <w:t>Consu</w:t>
      </w:r>
      <w:r w:rsidR="00D53CA1" w:rsidRPr="00F53655">
        <w:rPr>
          <w:b/>
        </w:rPr>
        <w:t xml:space="preserve">ltation Packet (due </w:t>
      </w:r>
      <w:r w:rsidR="00AE7577" w:rsidRPr="00F53655">
        <w:rPr>
          <w:b/>
        </w:rPr>
        <w:t>6 March</w:t>
      </w:r>
      <w:r w:rsidR="00D53CA1" w:rsidRPr="00F53655">
        <w:rPr>
          <w:b/>
        </w:rPr>
        <w:t>;</w:t>
      </w:r>
      <w:r w:rsidR="008F1506" w:rsidRPr="00F53655">
        <w:rPr>
          <w:b/>
        </w:rPr>
        <w:t xml:space="preserve"> 20</w:t>
      </w:r>
      <w:r w:rsidR="00C200E2" w:rsidRPr="00F53655">
        <w:rPr>
          <w:b/>
        </w:rPr>
        <w:t>% of final grade</w:t>
      </w:r>
      <w:r w:rsidR="008F1506" w:rsidRPr="00F53655">
        <w:rPr>
          <w:b/>
        </w:rPr>
        <w:t>):</w:t>
      </w:r>
    </w:p>
    <w:p w:rsidR="005C6B37" w:rsidRDefault="005C6B37" w:rsidP="000143ED">
      <w:r>
        <w:t xml:space="preserve">You will </w:t>
      </w:r>
      <w:r w:rsidR="001D01E2">
        <w:t>complete this project in p</w:t>
      </w:r>
      <w:r>
        <w:t>air</w:t>
      </w:r>
      <w:r w:rsidR="001D01E2">
        <w:t>s</w:t>
      </w:r>
      <w:r w:rsidR="008F1506" w:rsidRPr="008F1506">
        <w:t>. Each pair will receive an authentic consultation query. The pairs will locate a variety of sources (books, databas</w:t>
      </w:r>
      <w:r>
        <w:t xml:space="preserve">es, journals, etc.) that </w:t>
      </w:r>
      <w:r w:rsidR="008F1506" w:rsidRPr="008F1506">
        <w:t>address</w:t>
      </w:r>
      <w:r>
        <w:t>/answer</w:t>
      </w:r>
      <w:r w:rsidR="008F1506" w:rsidRPr="008F1506">
        <w:t xml:space="preserve"> the questions or issues </w:t>
      </w:r>
      <w:r>
        <w:t xml:space="preserve">implicated </w:t>
      </w:r>
      <w:r w:rsidR="008F1506" w:rsidRPr="008F1506">
        <w:t xml:space="preserve">in the query. </w:t>
      </w:r>
      <w:r>
        <w:t xml:space="preserve">More specifically, each pair will </w:t>
      </w:r>
      <w:r w:rsidR="008F1506" w:rsidRPr="008F1506">
        <w:t xml:space="preserve">select </w:t>
      </w:r>
      <w:r>
        <w:t xml:space="preserve">and evaluate three to five </w:t>
      </w:r>
      <w:r w:rsidR="008F1506" w:rsidRPr="008F1506">
        <w:t xml:space="preserve">sources </w:t>
      </w:r>
      <w:r>
        <w:t>relying on criteria described in the readings and discussed in class.</w:t>
      </w:r>
    </w:p>
    <w:p w:rsidR="005C6B37" w:rsidRDefault="005C6B37" w:rsidP="000143ED"/>
    <w:p w:rsidR="008F1506" w:rsidRDefault="005C6B37" w:rsidP="000143ED">
      <w:r>
        <w:t xml:space="preserve">Each </w:t>
      </w:r>
      <w:r w:rsidR="008F1506" w:rsidRPr="008F1506">
        <w:t xml:space="preserve">consultation packet will include an email response to the request. This email should be written using professional email standards (helpful guidelines can be found here </w:t>
      </w:r>
      <w:hyperlink r:id="rId9" w:history="1">
        <w:r w:rsidRPr="003A1C27">
          <w:rPr>
            <w:rStyle w:val="Hyperlink"/>
          </w:rPr>
          <w:t>https://www.training.nih.gov/writing_professional_e-mail</w:t>
        </w:r>
      </w:hyperlink>
      <w:r w:rsidR="008F1506" w:rsidRPr="008F1506">
        <w:t>)</w:t>
      </w:r>
      <w:r>
        <w:t xml:space="preserve">. It </w:t>
      </w:r>
      <w:r w:rsidR="008F1506" w:rsidRPr="008F1506">
        <w:t xml:space="preserve">should </w:t>
      </w:r>
      <w:r>
        <w:t xml:space="preserve">set forth </w:t>
      </w:r>
      <w:r w:rsidR="008F1506" w:rsidRPr="008F1506">
        <w:t>the recommended steps for the patron</w:t>
      </w:r>
      <w:r>
        <w:t>,</w:t>
      </w:r>
      <w:r w:rsidR="008F1506" w:rsidRPr="008F1506">
        <w:t xml:space="preserve"> including database selection, search strategy suggestions, and opportunities for relevant database instruction at the library. </w:t>
      </w:r>
      <w:r>
        <w:t xml:space="preserve">Each packet </w:t>
      </w:r>
      <w:r w:rsidR="008F1506" w:rsidRPr="008F1506">
        <w:t xml:space="preserve">should also include screenshots of the searches in the selected databases to </w:t>
      </w:r>
      <w:r>
        <w:t xml:space="preserve">depict </w:t>
      </w:r>
      <w:r w:rsidR="008F1506" w:rsidRPr="008F1506">
        <w:t xml:space="preserve">their recommendations to the patron. </w:t>
      </w:r>
      <w:r>
        <w:t xml:space="preserve">Finally, </w:t>
      </w:r>
      <w:r w:rsidR="008F1506" w:rsidRPr="008F1506">
        <w:t>please write a</w:t>
      </w:r>
      <w:r w:rsidR="000360D3">
        <w:t>n analy</w:t>
      </w:r>
      <w:r w:rsidR="00C57A67">
        <w:t>sis</w:t>
      </w:r>
      <w:r w:rsidR="008F1506" w:rsidRPr="008F1506">
        <w:t xml:space="preserve"> of how the work was divided and how you came to your recommendations.</w:t>
      </w:r>
    </w:p>
    <w:p w:rsidR="008F1506" w:rsidRDefault="008F1506" w:rsidP="000143ED"/>
    <w:p w:rsidR="00C41E8A" w:rsidRPr="008F087D" w:rsidRDefault="00C41E8A" w:rsidP="00C41E8A">
      <w:r w:rsidRPr="008F087D">
        <w:t>Goals and Objectiv</w:t>
      </w:r>
      <w:r w:rsidR="00EB24CC" w:rsidRPr="008F087D">
        <w:t>es:</w:t>
      </w:r>
    </w:p>
    <w:p w:rsidR="00C41E8A" w:rsidRPr="008F087D" w:rsidRDefault="00C41E8A" w:rsidP="00EB24CC">
      <w:pPr>
        <w:pStyle w:val="ListParagraph"/>
        <w:numPr>
          <w:ilvl w:val="0"/>
          <w:numId w:val="7"/>
        </w:numPr>
      </w:pPr>
      <w:r w:rsidRPr="008F087D">
        <w:t>Each group will strategize and search for sources that could be used to respond to the query.</w:t>
      </w:r>
    </w:p>
    <w:p w:rsidR="00C41E8A" w:rsidRPr="008F087D" w:rsidRDefault="00C41E8A" w:rsidP="00EB24CC">
      <w:pPr>
        <w:pStyle w:val="ListParagraph"/>
        <w:numPr>
          <w:ilvl w:val="0"/>
          <w:numId w:val="7"/>
        </w:numPr>
      </w:pPr>
      <w:r w:rsidRPr="008F087D">
        <w:t>Each group will thoroughly review and evaluate a small number of sources (approximately 3-5 sources, depending on the query).</w:t>
      </w:r>
    </w:p>
    <w:p w:rsidR="00C41E8A" w:rsidRPr="008F087D" w:rsidRDefault="00C41E8A" w:rsidP="00EB24CC">
      <w:pPr>
        <w:pStyle w:val="ListParagraph"/>
        <w:numPr>
          <w:ilvl w:val="0"/>
          <w:numId w:val="7"/>
        </w:numPr>
      </w:pPr>
      <w:r w:rsidRPr="008F087D">
        <w:t>The group members will gain experience working as a team.</w:t>
      </w:r>
    </w:p>
    <w:p w:rsidR="00C41E8A" w:rsidRPr="008F087D" w:rsidRDefault="00C41E8A" w:rsidP="00C41E8A"/>
    <w:p w:rsidR="00C41E8A" w:rsidRPr="008F087D" w:rsidRDefault="00E03AEE" w:rsidP="00C41E8A">
      <w:r w:rsidRPr="008F087D">
        <w:t>Instruc</w:t>
      </w:r>
      <w:r w:rsidR="00EB24CC" w:rsidRPr="008F087D">
        <w:t>tions:</w:t>
      </w:r>
    </w:p>
    <w:p w:rsidR="00C41E8A" w:rsidRPr="008F087D" w:rsidRDefault="00C41E8A" w:rsidP="008F087D">
      <w:pPr>
        <w:pStyle w:val="ListParagraph"/>
        <w:numPr>
          <w:ilvl w:val="0"/>
          <w:numId w:val="8"/>
        </w:numPr>
      </w:pPr>
      <w:r w:rsidRPr="008F087D">
        <w:t>Each team should select the print or electronic items they feel are most importa</w:t>
      </w:r>
      <w:r w:rsidR="008F087D" w:rsidRPr="008F087D">
        <w:t xml:space="preserve">nt in addressing the question. </w:t>
      </w:r>
      <w:r w:rsidRPr="008F087D">
        <w:t>Selection will be part of the grading criteria.</w:t>
      </w:r>
    </w:p>
    <w:p w:rsidR="00C41E8A" w:rsidRPr="008F087D" w:rsidRDefault="00C41E8A" w:rsidP="008F087D">
      <w:pPr>
        <w:pStyle w:val="ListParagraph"/>
        <w:numPr>
          <w:ilvl w:val="0"/>
          <w:numId w:val="8"/>
        </w:numPr>
      </w:pPr>
      <w:r w:rsidRPr="008F087D">
        <w:t xml:space="preserve">NOTE: Since the library patron will not be present to provide any other information on their request, it will be up the team to think of and design probing or clarifying questions- </w:t>
      </w:r>
      <w:r w:rsidRPr="008F087D">
        <w:lastRenderedPageBreak/>
        <w:t xml:space="preserve">that, given the chance, you would have asked. Then proceed with the search based on what you think the user is looking for. </w:t>
      </w:r>
    </w:p>
    <w:p w:rsidR="00C41E8A" w:rsidRPr="00084712" w:rsidRDefault="00C41E8A" w:rsidP="008F087D">
      <w:pPr>
        <w:pStyle w:val="ListParagraph"/>
        <w:numPr>
          <w:ilvl w:val="0"/>
          <w:numId w:val="8"/>
        </w:numPr>
      </w:pPr>
      <w:r w:rsidRPr="008F087D">
        <w:t xml:space="preserve">If possible, read the review material on the sources as part of your preparation and address the following questions (you may search for reviews in LISA and Library </w:t>
      </w:r>
      <w:r w:rsidRPr="00084712">
        <w:t>Literature and Information Science databases):</w:t>
      </w:r>
    </w:p>
    <w:p w:rsidR="00C41E8A" w:rsidRPr="00084712" w:rsidRDefault="00C41E8A" w:rsidP="00084712">
      <w:pPr>
        <w:ind w:left="720"/>
      </w:pPr>
      <w:r w:rsidRPr="00084712">
        <w:t>1</w:t>
      </w:r>
      <w:r w:rsidR="008F087D" w:rsidRPr="00084712">
        <w:t xml:space="preserve">) </w:t>
      </w:r>
      <w:r w:rsidRPr="00084712">
        <w:t>For what audience(s), with what types of questions/problems would you advise use of these sources?</w:t>
      </w:r>
    </w:p>
    <w:p w:rsidR="00C41E8A" w:rsidRPr="00084712" w:rsidRDefault="008F087D" w:rsidP="00084712">
      <w:pPr>
        <w:ind w:left="720"/>
      </w:pPr>
      <w:r w:rsidRPr="00084712">
        <w:t xml:space="preserve">2) </w:t>
      </w:r>
      <w:r w:rsidR="00C41E8A" w:rsidRPr="00084712">
        <w:t xml:space="preserve">How easy/hard is it to access/use material in each source?  That is, how good is the index, table of contents, or other finding/organization aids?  </w:t>
      </w:r>
    </w:p>
    <w:p w:rsidR="00C41E8A" w:rsidRPr="00084712" w:rsidRDefault="008F087D" w:rsidP="00084712">
      <w:pPr>
        <w:ind w:left="720"/>
      </w:pPr>
      <w:r w:rsidRPr="00084712">
        <w:t xml:space="preserve">3) </w:t>
      </w:r>
      <w:r w:rsidR="00C41E8A" w:rsidRPr="00084712">
        <w:t xml:space="preserve">Does the source appear to be biased?  </w:t>
      </w:r>
    </w:p>
    <w:p w:rsidR="00C41E8A" w:rsidRPr="00084712" w:rsidRDefault="008F087D" w:rsidP="00084712">
      <w:pPr>
        <w:ind w:left="720"/>
      </w:pPr>
      <w:r w:rsidRPr="00084712">
        <w:t xml:space="preserve">4) </w:t>
      </w:r>
      <w:r w:rsidR="00C41E8A" w:rsidRPr="00084712">
        <w:t>What is the reputation of the source, its author, and its publisher?</w:t>
      </w:r>
    </w:p>
    <w:p w:rsidR="00C41E8A" w:rsidRPr="00084712" w:rsidRDefault="008F087D" w:rsidP="00084712">
      <w:pPr>
        <w:ind w:left="720"/>
      </w:pPr>
      <w:r w:rsidRPr="00084712">
        <w:t xml:space="preserve">5) </w:t>
      </w:r>
      <w:r w:rsidR="00C41E8A" w:rsidRPr="00084712">
        <w:t>Is the source a good value?  What type of library should have this in its collection?</w:t>
      </w:r>
    </w:p>
    <w:p w:rsidR="00C41E8A" w:rsidRPr="00084712" w:rsidRDefault="008F087D" w:rsidP="00084712">
      <w:pPr>
        <w:ind w:left="720"/>
      </w:pPr>
      <w:r w:rsidRPr="00084712">
        <w:t xml:space="preserve">6) </w:t>
      </w:r>
      <w:r w:rsidR="00C41E8A" w:rsidRPr="00084712">
        <w:t>Is there anything for which this source is particularly known?  Are there distinguishing characteristics that sets it apart from similar sources?</w:t>
      </w:r>
    </w:p>
    <w:p w:rsidR="00C41E8A" w:rsidRPr="00084712" w:rsidRDefault="008F087D" w:rsidP="00084712">
      <w:pPr>
        <w:ind w:left="720"/>
      </w:pPr>
      <w:r w:rsidRPr="00084712">
        <w:t xml:space="preserve">7) </w:t>
      </w:r>
      <w:r w:rsidR="00C41E8A" w:rsidRPr="00084712">
        <w:t>Be able to make comparisons between sources, when appropriate.</w:t>
      </w:r>
    </w:p>
    <w:p w:rsidR="00C41E8A" w:rsidRPr="00084712" w:rsidRDefault="00C41E8A" w:rsidP="008F087D">
      <w:pPr>
        <w:pStyle w:val="ListParagraph"/>
        <w:numPr>
          <w:ilvl w:val="0"/>
          <w:numId w:val="9"/>
        </w:numPr>
      </w:pPr>
      <w:r w:rsidRPr="00084712">
        <w:t>Each team should schedule at least two (2) meeting</w:t>
      </w:r>
      <w:r w:rsidR="009434E3">
        <w:t>s</w:t>
      </w:r>
      <w:r w:rsidRPr="00084712">
        <w:t xml:space="preserve"> while working on this project.  The first meeting should be to establish sources to be presented (written up).  At least one additional meeting should be scheduled to finalize the plans for writing up the exercise, which should look like a team effort and as uniform as possible. Also, only submit one completed assignment per team.</w:t>
      </w:r>
    </w:p>
    <w:p w:rsidR="00C41E8A" w:rsidRDefault="00C41E8A" w:rsidP="00C41E8A"/>
    <w:p w:rsidR="000360D3" w:rsidRPr="00F53655" w:rsidRDefault="005C4EB6" w:rsidP="0093778E">
      <w:pPr>
        <w:pStyle w:val="Heading2"/>
        <w:rPr>
          <w:b/>
        </w:rPr>
      </w:pPr>
      <w:r w:rsidRPr="00F53655">
        <w:rPr>
          <w:b/>
        </w:rPr>
        <w:t xml:space="preserve">3) </w:t>
      </w:r>
      <w:r w:rsidR="000360D3" w:rsidRPr="00F53655">
        <w:rPr>
          <w:b/>
        </w:rPr>
        <w:t xml:space="preserve">Database Group </w:t>
      </w:r>
      <w:r w:rsidR="00B8766B" w:rsidRPr="00F53655">
        <w:rPr>
          <w:b/>
        </w:rPr>
        <w:t xml:space="preserve">Presentations (groups assigned </w:t>
      </w:r>
      <w:r w:rsidR="00AE7577" w:rsidRPr="00F53655">
        <w:rPr>
          <w:b/>
        </w:rPr>
        <w:t>13 February</w:t>
      </w:r>
      <w:r w:rsidR="000360D3" w:rsidRPr="00F53655">
        <w:rPr>
          <w:b/>
        </w:rPr>
        <w:t xml:space="preserve">; group presentations </w:t>
      </w:r>
      <w:r w:rsidR="00E31D39" w:rsidRPr="00F53655">
        <w:rPr>
          <w:b/>
        </w:rPr>
        <w:t>3</w:t>
      </w:r>
      <w:r w:rsidR="003213DC" w:rsidRPr="00F53655">
        <w:rPr>
          <w:b/>
        </w:rPr>
        <w:t xml:space="preserve"> April</w:t>
      </w:r>
      <w:r w:rsidR="00D53CA1" w:rsidRPr="00F53655">
        <w:rPr>
          <w:b/>
        </w:rPr>
        <w:t>;</w:t>
      </w:r>
      <w:r w:rsidR="00B9755F">
        <w:rPr>
          <w:b/>
        </w:rPr>
        <w:t xml:space="preserve"> 20</w:t>
      </w:r>
      <w:r w:rsidR="00C200E2" w:rsidRPr="00F53655">
        <w:rPr>
          <w:b/>
        </w:rPr>
        <w:t>% of final grade</w:t>
      </w:r>
      <w:r w:rsidR="000360D3" w:rsidRPr="00F53655">
        <w:rPr>
          <w:b/>
        </w:rPr>
        <w:t>)</w:t>
      </w:r>
    </w:p>
    <w:p w:rsidR="00217B4C" w:rsidRDefault="000360D3" w:rsidP="000143ED">
      <w:r w:rsidRPr="000360D3">
        <w:t xml:space="preserve">Groups of four to five students with similar professional goals will present a subject database to the class (e.g., those interested in law librarianship will present a core law database). </w:t>
      </w:r>
      <w:r w:rsidR="00217B4C">
        <w:t>In fifteen minutes, e</w:t>
      </w:r>
      <w:r w:rsidRPr="000360D3">
        <w:t xml:space="preserve">ach group will provide an overview of the database, </w:t>
      </w:r>
      <w:r w:rsidR="00217B4C">
        <w:t xml:space="preserve">describe </w:t>
      </w:r>
      <w:r w:rsidRPr="000360D3">
        <w:t>why the database would be useful for education/research, explain the l</w:t>
      </w:r>
      <w:r w:rsidR="00217B4C">
        <w:t>ayout of the database, and perform</w:t>
      </w:r>
      <w:r w:rsidRPr="000360D3">
        <w:t xml:space="preserve"> a sample search</w:t>
      </w:r>
      <w:r w:rsidR="00217B4C">
        <w:t xml:space="preserve"> for the class</w:t>
      </w:r>
      <w:r w:rsidRPr="000360D3">
        <w:t xml:space="preserve">. </w:t>
      </w:r>
      <w:r w:rsidR="00217B4C">
        <w:t>Each group should be prepared to answer questions from other members of the class.</w:t>
      </w:r>
    </w:p>
    <w:p w:rsidR="00217B4C" w:rsidRDefault="00217B4C" w:rsidP="000143ED"/>
    <w:p w:rsidR="000360D3" w:rsidRDefault="00217B4C" w:rsidP="000143ED">
      <w:r>
        <w:t xml:space="preserve">Each </w:t>
      </w:r>
      <w:r w:rsidR="000360D3" w:rsidRPr="000360D3">
        <w:t>P</w:t>
      </w:r>
      <w:r>
        <w:t>owerPoint or Prezi presentation</w:t>
      </w:r>
      <w:r w:rsidR="000360D3" w:rsidRPr="000360D3">
        <w:t xml:space="preserve"> must be posted in Sakai no later than </w:t>
      </w:r>
      <w:r w:rsidR="00FE65D6" w:rsidRPr="00F80E19">
        <w:rPr>
          <w:highlight w:val="yellow"/>
        </w:rPr>
        <w:t>4 November</w:t>
      </w:r>
      <w:r w:rsidR="00FE65D6">
        <w:t xml:space="preserve"> </w:t>
      </w:r>
      <w:r w:rsidR="000360D3" w:rsidRPr="000360D3">
        <w:t>and must include a slide with an explanation of the contributions o</w:t>
      </w:r>
      <w:r>
        <w:t>f each group member.</w:t>
      </w:r>
    </w:p>
    <w:p w:rsidR="000360D3" w:rsidRDefault="000360D3" w:rsidP="000143ED"/>
    <w:p w:rsidR="000143ED" w:rsidRPr="00F53655" w:rsidRDefault="005C4EB6" w:rsidP="0093778E">
      <w:pPr>
        <w:pStyle w:val="Heading2"/>
        <w:rPr>
          <w:b/>
        </w:rPr>
      </w:pPr>
      <w:r w:rsidRPr="00F53655">
        <w:rPr>
          <w:b/>
        </w:rPr>
        <w:t xml:space="preserve">4) </w:t>
      </w:r>
      <w:r w:rsidR="000143ED" w:rsidRPr="00F53655">
        <w:rPr>
          <w:b/>
        </w:rPr>
        <w:t>Fin</w:t>
      </w:r>
      <w:r w:rsidR="00455752" w:rsidRPr="00F53655">
        <w:rPr>
          <w:b/>
        </w:rPr>
        <w:t xml:space="preserve">al term project &amp; </w:t>
      </w:r>
      <w:r w:rsidR="00F53655">
        <w:rPr>
          <w:b/>
        </w:rPr>
        <w:t>presentation (</w:t>
      </w:r>
      <w:r w:rsidR="00D53CA1" w:rsidRPr="00F53655">
        <w:rPr>
          <w:b/>
        </w:rPr>
        <w:t>30</w:t>
      </w:r>
      <w:r w:rsidR="00C200E2" w:rsidRPr="00F53655">
        <w:rPr>
          <w:b/>
        </w:rPr>
        <w:t>% of final grade</w:t>
      </w:r>
      <w:r w:rsidR="00455752" w:rsidRPr="00F53655">
        <w:rPr>
          <w:b/>
        </w:rPr>
        <w:t>)</w:t>
      </w:r>
    </w:p>
    <w:p w:rsidR="000143ED" w:rsidRDefault="000143ED" w:rsidP="000143ED">
      <w:r w:rsidRPr="00F44E08">
        <w:t xml:space="preserve">You will build this assignment over the course of the term. For the term project, you will complete a subject resource </w:t>
      </w:r>
      <w:r w:rsidR="00C57A67">
        <w:t xml:space="preserve">that </w:t>
      </w:r>
      <w:r w:rsidRPr="00F44E08">
        <w:t>support</w:t>
      </w:r>
      <w:r w:rsidR="00C57A67">
        <w:t>s</w:t>
      </w:r>
      <w:r w:rsidRPr="00F44E08">
        <w:t xml:space="preserve"> an academic course or unit </w:t>
      </w:r>
      <w:r w:rsidR="00C57A67">
        <w:t>(</w:t>
      </w:r>
      <w:r w:rsidRPr="00F44E08">
        <w:t xml:space="preserve">at UNC or at another educational institution). You may select any course subject you wish. I will meet with each student early in the term to discuss </w:t>
      </w:r>
      <w:r w:rsidR="00C57A67">
        <w:t>his or her</w:t>
      </w:r>
      <w:r w:rsidRPr="00F44E08">
        <w:t xml:space="preserve"> chosen topic. As a Framework or model for this project, please review the Course Pages at UNC at: </w:t>
      </w:r>
    </w:p>
    <w:p w:rsidR="007D36F8" w:rsidRPr="00F44E08" w:rsidRDefault="007D36F8" w:rsidP="000143ED"/>
    <w:p w:rsidR="000143ED" w:rsidRPr="00F44E08" w:rsidRDefault="004463C1" w:rsidP="000143ED">
      <w:hyperlink r:id="rId10" w:history="1">
        <w:r w:rsidR="000143ED" w:rsidRPr="00F44E08">
          <w:rPr>
            <w:rStyle w:val="Hyperlink"/>
          </w:rPr>
          <w:t>http://www.lib.unc.edu/coursepages/</w:t>
        </w:r>
      </w:hyperlink>
      <w:r w:rsidR="000143ED" w:rsidRPr="00F44E08">
        <w:t xml:space="preserve"> These Course Pages provide the focus of the course and some of the resources useful to students enrolled in the respective class.</w:t>
      </w:r>
    </w:p>
    <w:p w:rsidR="000143ED" w:rsidRPr="00F44E08" w:rsidRDefault="000143ED" w:rsidP="000143ED"/>
    <w:p w:rsidR="000143ED" w:rsidRPr="00F44E08" w:rsidRDefault="000143ED" w:rsidP="000143ED">
      <w:r>
        <w:t>S</w:t>
      </w:r>
      <w:r w:rsidRPr="00F44E08">
        <w:t xml:space="preserve">ubject-related resources </w:t>
      </w:r>
      <w:r>
        <w:t xml:space="preserve">are available </w:t>
      </w:r>
      <w:r w:rsidRPr="00F44E08">
        <w:t xml:space="preserve">on the UNC Library’s Subject Guides page at:  </w:t>
      </w:r>
      <w:hyperlink r:id="rId11" w:history="1">
        <w:r w:rsidRPr="00F44E08">
          <w:rPr>
            <w:rStyle w:val="Hyperlink"/>
          </w:rPr>
          <w:t>http://www.lib.unc.edu/guides/</w:t>
        </w:r>
      </w:hyperlink>
    </w:p>
    <w:p w:rsidR="000143ED" w:rsidRDefault="000143ED" w:rsidP="000143ED"/>
    <w:p w:rsidR="004D06A4" w:rsidRPr="006B0708" w:rsidRDefault="004D06A4" w:rsidP="004D06A4">
      <w:r w:rsidRPr="006B0708">
        <w:lastRenderedPageBreak/>
        <w:t xml:space="preserve">Your </w:t>
      </w:r>
      <w:r w:rsidR="006B0708">
        <w:t>LibGuide</w:t>
      </w:r>
      <w:r w:rsidRPr="006B0708">
        <w:t xml:space="preserve"> will include 5-8 resource of various types, including rele</w:t>
      </w:r>
      <w:r w:rsidR="00174316" w:rsidRPr="006B0708">
        <w:t xml:space="preserve">vant reference sources such as </w:t>
      </w:r>
      <w:r w:rsidRPr="006B0708">
        <w:t>dictionaries, encyclopedias, biographical materials, etc., depending on th</w:t>
      </w:r>
      <w:r w:rsidR="00174316" w:rsidRPr="006B0708">
        <w:t xml:space="preserve">e subject of your course page. </w:t>
      </w:r>
      <w:r w:rsidRPr="006B0708">
        <w:t>Those 5-</w:t>
      </w:r>
      <w:r w:rsidR="00174316" w:rsidRPr="006B0708">
        <w:t>8</w:t>
      </w:r>
      <w:r w:rsidRPr="006B0708">
        <w:t xml:space="preserve"> </w:t>
      </w:r>
      <w:r w:rsidR="00174316" w:rsidRPr="006B0708">
        <w:t>items are to be considered the “primary”</w:t>
      </w:r>
      <w:r w:rsidRPr="006B0708">
        <w:t xml:space="preserve"> resources for which</w:t>
      </w:r>
      <w:r w:rsidR="00174316" w:rsidRPr="006B0708">
        <w:t xml:space="preserve"> you will provide annotations. </w:t>
      </w:r>
      <w:r w:rsidRPr="006B0708">
        <w:t>However, you may wish to include “secondary</w:t>
      </w:r>
      <w:r w:rsidR="00174316" w:rsidRPr="006B0708">
        <w:t>”</w:t>
      </w:r>
      <w:r w:rsidRPr="006B0708">
        <w:t xml:space="preserve"> sources as well (e.g., a small bibliography). </w:t>
      </w:r>
    </w:p>
    <w:p w:rsidR="004D06A4" w:rsidRPr="006B0708" w:rsidRDefault="004D06A4" w:rsidP="004D06A4"/>
    <w:p w:rsidR="004D06A4" w:rsidRPr="006B0708" w:rsidRDefault="004D06A4" w:rsidP="004D06A4">
      <w:r w:rsidRPr="006B0708">
        <w:t>Many of your sources may be web-based (online databases, books, etc.),</w:t>
      </w:r>
      <w:r w:rsidR="00174316" w:rsidRPr="006B0708">
        <w:t xml:space="preserve"> but</w:t>
      </w:r>
      <w:r w:rsidRPr="006B0708">
        <w:t xml:space="preserve"> you may need to include print sources depending on your topic.  </w:t>
      </w:r>
    </w:p>
    <w:p w:rsidR="006B0708" w:rsidRPr="006B0708" w:rsidRDefault="006B0708" w:rsidP="004D06A4"/>
    <w:p w:rsidR="004D06A4" w:rsidRPr="006B0708" w:rsidRDefault="004D06A4" w:rsidP="004D06A4">
      <w:r w:rsidRPr="006B0708">
        <w:t xml:space="preserve">Structure: </w:t>
      </w:r>
    </w:p>
    <w:p w:rsidR="004D06A4" w:rsidRPr="006B0708" w:rsidRDefault="006B0708" w:rsidP="004D06A4">
      <w:r w:rsidRPr="006B0708">
        <w:t xml:space="preserve">1) </w:t>
      </w:r>
      <w:r w:rsidR="004D06A4" w:rsidRPr="006B0708">
        <w:t>Provide a brief introduction/overview of the course. With a student viewing it, this should be more than 1-2 short paragraphs.</w:t>
      </w:r>
    </w:p>
    <w:p w:rsidR="004D06A4" w:rsidRPr="006B0708" w:rsidRDefault="006B0708" w:rsidP="004D06A4">
      <w:r w:rsidRPr="006B0708">
        <w:t xml:space="preserve">2) </w:t>
      </w:r>
      <w:r w:rsidR="004D06A4" w:rsidRPr="006B0708">
        <w:t>For each resource you include, provide an annotation that briefly describes its focus and how it may be useful. This should be no more then 3-4 sentences. While you probably know what an annotation is, it may be helpful to look at: http://writing.wisc.edu/Handbook/AnnBib_content.html</w:t>
      </w:r>
    </w:p>
    <w:p w:rsidR="004D06A4" w:rsidRPr="006B0708" w:rsidRDefault="006B0708" w:rsidP="004D06A4">
      <w:r w:rsidRPr="006B0708">
        <w:t xml:space="preserve">3) </w:t>
      </w:r>
      <w:r w:rsidR="004D06A4" w:rsidRPr="006B0708">
        <w:t>In developing your course page, evaluate your sources for inclusion using these evalu</w:t>
      </w:r>
      <w:r w:rsidRPr="006B0708">
        <w:t>ation criteria</w:t>
      </w:r>
      <w:r w:rsidR="004D06A4" w:rsidRPr="006B0708">
        <w:t xml:space="preserve">: </w:t>
      </w:r>
    </w:p>
    <w:p w:rsidR="004D06A4" w:rsidRPr="006B0708" w:rsidRDefault="004D06A4" w:rsidP="006B0708">
      <w:pPr>
        <w:pStyle w:val="ListParagraph"/>
        <w:numPr>
          <w:ilvl w:val="0"/>
          <w:numId w:val="6"/>
        </w:numPr>
      </w:pPr>
      <w:r w:rsidRPr="006B0708">
        <w:t>Authority</w:t>
      </w:r>
    </w:p>
    <w:p w:rsidR="004D06A4" w:rsidRPr="006B0708" w:rsidRDefault="004D06A4" w:rsidP="006B0708">
      <w:pPr>
        <w:pStyle w:val="ListParagraph"/>
        <w:numPr>
          <w:ilvl w:val="0"/>
          <w:numId w:val="6"/>
        </w:numPr>
      </w:pPr>
      <w:r w:rsidRPr="006B0708">
        <w:t>Scope</w:t>
      </w:r>
    </w:p>
    <w:p w:rsidR="004D06A4" w:rsidRPr="006B0708" w:rsidRDefault="004D06A4" w:rsidP="006B0708">
      <w:pPr>
        <w:pStyle w:val="ListParagraph"/>
        <w:numPr>
          <w:ilvl w:val="0"/>
          <w:numId w:val="6"/>
        </w:numPr>
      </w:pPr>
      <w:r w:rsidRPr="006B0708">
        <w:t>Format</w:t>
      </w:r>
    </w:p>
    <w:p w:rsidR="004D06A4" w:rsidRPr="006B0708" w:rsidRDefault="004D06A4" w:rsidP="006B0708">
      <w:pPr>
        <w:pStyle w:val="ListParagraph"/>
        <w:numPr>
          <w:ilvl w:val="0"/>
          <w:numId w:val="6"/>
        </w:numPr>
      </w:pPr>
      <w:r w:rsidRPr="006B0708">
        <w:t>Arrangement</w:t>
      </w:r>
    </w:p>
    <w:p w:rsidR="004D06A4" w:rsidRPr="006B0708" w:rsidRDefault="004D06A4" w:rsidP="006B0708">
      <w:pPr>
        <w:pStyle w:val="ListParagraph"/>
        <w:numPr>
          <w:ilvl w:val="0"/>
          <w:numId w:val="6"/>
        </w:numPr>
      </w:pPr>
      <w:r w:rsidRPr="006B0708">
        <w:t>Treatment</w:t>
      </w:r>
    </w:p>
    <w:p w:rsidR="004D06A4" w:rsidRPr="006B0708" w:rsidRDefault="004D06A4" w:rsidP="006B0708">
      <w:pPr>
        <w:pStyle w:val="ListParagraph"/>
        <w:numPr>
          <w:ilvl w:val="0"/>
          <w:numId w:val="6"/>
        </w:numPr>
      </w:pPr>
      <w:r w:rsidRPr="006B0708">
        <w:t>Special features</w:t>
      </w:r>
    </w:p>
    <w:p w:rsidR="004D06A4" w:rsidRPr="004D06A4" w:rsidRDefault="004D06A4" w:rsidP="004D06A4">
      <w:pPr>
        <w:rPr>
          <w:highlight w:val="yellow"/>
        </w:rPr>
      </w:pPr>
    </w:p>
    <w:p w:rsidR="004D06A4" w:rsidRPr="00E03AEE" w:rsidRDefault="004D06A4" w:rsidP="004D06A4">
      <w:r w:rsidRPr="00E03AEE">
        <w:t>Deliverables:</w:t>
      </w:r>
    </w:p>
    <w:p w:rsidR="004D06A4" w:rsidRPr="00E03AEE" w:rsidRDefault="006B0708" w:rsidP="004D06A4">
      <w:r w:rsidRPr="00E03AEE">
        <w:t xml:space="preserve">1) </w:t>
      </w:r>
      <w:r w:rsidR="004D06A4" w:rsidRPr="00E03AEE">
        <w:t xml:space="preserve">By </w:t>
      </w:r>
      <w:r w:rsidR="00992030" w:rsidRPr="00E03AEE">
        <w:t>2/6/2014</w:t>
      </w:r>
      <w:r w:rsidR="004D06A4" w:rsidRPr="00E03AEE">
        <w:t>, select your course/topic (including institution, department, course number, and course description) and please justify your selection. Be sure you have access to a syllabus of the course!</w:t>
      </w:r>
    </w:p>
    <w:p w:rsidR="004D06A4" w:rsidRPr="00E03AEE" w:rsidRDefault="006B0708" w:rsidP="004D06A4">
      <w:r w:rsidRPr="00E03AEE">
        <w:t xml:space="preserve">2) </w:t>
      </w:r>
      <w:r w:rsidR="004D06A4" w:rsidRPr="00E03AEE">
        <w:t xml:space="preserve">By </w:t>
      </w:r>
      <w:r w:rsidR="00422C38">
        <w:t>2/27</w:t>
      </w:r>
      <w:r w:rsidR="00992030" w:rsidRPr="00E03AEE">
        <w:t>/2014</w:t>
      </w:r>
      <w:r w:rsidR="004D06A4" w:rsidRPr="00E03AEE">
        <w:t>, submit your Introduction, Overview, and one Resource Assessment</w:t>
      </w:r>
    </w:p>
    <w:p w:rsidR="004D06A4" w:rsidRPr="00992030" w:rsidRDefault="006B0708" w:rsidP="004D06A4">
      <w:r w:rsidRPr="00E03AEE">
        <w:t xml:space="preserve">3) </w:t>
      </w:r>
      <w:r w:rsidR="00992030" w:rsidRPr="00E03AEE">
        <w:t xml:space="preserve">On </w:t>
      </w:r>
      <w:r w:rsidR="00E03AEE" w:rsidRPr="00E03AEE">
        <w:t>4/24/2014</w:t>
      </w:r>
      <w:r w:rsidR="004D06A4" w:rsidRPr="00E03AEE">
        <w:t>, you</w:t>
      </w:r>
      <w:r w:rsidR="004D06A4" w:rsidRPr="00992030">
        <w:t xml:space="preserve"> will participate in short in-class presentations on your final project, which should include topic, audience, and 1-2 highlights, only. You will each have approximatel</w:t>
      </w:r>
      <w:r w:rsidRPr="00992030">
        <w:t xml:space="preserve">y </w:t>
      </w:r>
      <w:r w:rsidR="00992030" w:rsidRPr="00992030">
        <w:t>10</w:t>
      </w:r>
      <w:r w:rsidR="00D05825">
        <w:t xml:space="preserve"> </w:t>
      </w:r>
      <w:r w:rsidRPr="00992030">
        <w:t>minutes to present. S</w:t>
      </w:r>
      <w:r w:rsidR="004D06A4" w:rsidRPr="00992030">
        <w:t>omething like http://igniteshow.com/ may b</w:t>
      </w:r>
      <w:r w:rsidR="00B06DC0" w:rsidRPr="00992030">
        <w:t>e helpful in your preparation.</w:t>
      </w:r>
    </w:p>
    <w:p w:rsidR="004D06A4" w:rsidRPr="00B06DC0" w:rsidRDefault="00B06DC0" w:rsidP="004D06A4">
      <w:r w:rsidRPr="00B06DC0">
        <w:t xml:space="preserve">4) </w:t>
      </w:r>
      <w:r w:rsidR="004D06A4" w:rsidRPr="00B06DC0">
        <w:t xml:space="preserve">On </w:t>
      </w:r>
      <w:r w:rsidRPr="00B06DC0">
        <w:t>24 April</w:t>
      </w:r>
      <w:r w:rsidR="004D06A4" w:rsidRPr="00B06DC0">
        <w:t xml:space="preserve">, submit completed Final Project as a webpage – including all remaining additional resources and their evaluations/assessments and any other related materials </w:t>
      </w:r>
      <w:r w:rsidRPr="00B06DC0">
        <w:t>–</w:t>
      </w:r>
      <w:r w:rsidR="004D06A4" w:rsidRPr="00B06DC0">
        <w:t xml:space="preserve"> by noon</w:t>
      </w:r>
    </w:p>
    <w:p w:rsidR="004D06A4" w:rsidRDefault="00B06DC0" w:rsidP="004D06A4">
      <w:r w:rsidRPr="00B06DC0">
        <w:t xml:space="preserve">5) </w:t>
      </w:r>
      <w:r w:rsidR="004D06A4" w:rsidRPr="00B06DC0">
        <w:t xml:space="preserve">On </w:t>
      </w:r>
      <w:r w:rsidRPr="00B06DC0">
        <w:rPr>
          <w:highlight w:val="yellow"/>
        </w:rPr>
        <w:t>XXX</w:t>
      </w:r>
      <w:r w:rsidR="004D06A4" w:rsidRPr="00B06DC0">
        <w:t>, submit a reflection on your work. Please list two resources you considered but decided not to include and your reasoning, outline if your final project changed as a result of your in-class presentation/Sakai feedback, and discuss how assignment/course has influenced your professional goals – by noon</w:t>
      </w:r>
    </w:p>
    <w:p w:rsidR="004D06A4" w:rsidRDefault="004D06A4" w:rsidP="004D06A4"/>
    <w:tbl>
      <w:tblPr>
        <w:tblStyle w:val="TableGrid"/>
        <w:tblW w:w="0" w:type="auto"/>
        <w:tblLook w:val="04A0" w:firstRow="1" w:lastRow="0" w:firstColumn="1" w:lastColumn="0" w:noHBand="0" w:noVBand="1"/>
      </w:tblPr>
      <w:tblGrid>
        <w:gridCol w:w="5778"/>
        <w:gridCol w:w="1980"/>
        <w:gridCol w:w="1098"/>
      </w:tblGrid>
      <w:tr w:rsidR="000360D3" w:rsidRPr="000360D3" w:rsidTr="000360D3">
        <w:tc>
          <w:tcPr>
            <w:tcW w:w="5778" w:type="dxa"/>
          </w:tcPr>
          <w:p w:rsidR="000360D3" w:rsidRPr="000360D3" w:rsidRDefault="000360D3" w:rsidP="000360D3">
            <w:pPr>
              <w:rPr>
                <w:b/>
                <w:bCs/>
              </w:rPr>
            </w:pPr>
            <w:r w:rsidRPr="000360D3">
              <w:rPr>
                <w:b/>
                <w:bCs/>
              </w:rPr>
              <w:t>Course Page Final Project Assignment Pieces</w:t>
            </w:r>
          </w:p>
        </w:tc>
        <w:tc>
          <w:tcPr>
            <w:tcW w:w="1980" w:type="dxa"/>
          </w:tcPr>
          <w:p w:rsidR="000360D3" w:rsidRPr="000360D3" w:rsidRDefault="000360D3" w:rsidP="000360D3">
            <w:pPr>
              <w:rPr>
                <w:b/>
                <w:bCs/>
              </w:rPr>
            </w:pPr>
            <w:r w:rsidRPr="000360D3">
              <w:rPr>
                <w:b/>
                <w:bCs/>
              </w:rPr>
              <w:t>Due Date</w:t>
            </w:r>
          </w:p>
        </w:tc>
        <w:tc>
          <w:tcPr>
            <w:tcW w:w="1098" w:type="dxa"/>
          </w:tcPr>
          <w:p w:rsidR="000360D3" w:rsidRPr="000360D3" w:rsidRDefault="000360D3" w:rsidP="000360D3">
            <w:pPr>
              <w:rPr>
                <w:b/>
                <w:bCs/>
              </w:rPr>
            </w:pPr>
            <w:r w:rsidRPr="000360D3">
              <w:rPr>
                <w:b/>
                <w:bCs/>
              </w:rPr>
              <w:t>Points</w:t>
            </w:r>
          </w:p>
        </w:tc>
      </w:tr>
      <w:tr w:rsidR="000360D3" w:rsidRPr="000360D3" w:rsidTr="000360D3">
        <w:tc>
          <w:tcPr>
            <w:tcW w:w="5778" w:type="dxa"/>
          </w:tcPr>
          <w:p w:rsidR="000360D3" w:rsidRPr="000360D3" w:rsidRDefault="000360D3" w:rsidP="000360D3">
            <w:pPr>
              <w:rPr>
                <w:bCs/>
              </w:rPr>
            </w:pPr>
            <w:r w:rsidRPr="000360D3">
              <w:rPr>
                <w:b/>
                <w:bCs/>
              </w:rPr>
              <w:t>Select a Subject</w:t>
            </w:r>
            <w:r w:rsidRPr="000360D3">
              <w:rPr>
                <w:bCs/>
              </w:rPr>
              <w:t xml:space="preserve"> – please include your reasoning for selecting it.</w:t>
            </w:r>
          </w:p>
        </w:tc>
        <w:tc>
          <w:tcPr>
            <w:tcW w:w="1980" w:type="dxa"/>
          </w:tcPr>
          <w:p w:rsidR="000360D3" w:rsidRPr="000360D3" w:rsidRDefault="00AE7577" w:rsidP="000360D3">
            <w:pPr>
              <w:rPr>
                <w:bCs/>
              </w:rPr>
            </w:pPr>
            <w:r>
              <w:rPr>
                <w:bCs/>
              </w:rPr>
              <w:t>2/6</w:t>
            </w:r>
          </w:p>
        </w:tc>
        <w:tc>
          <w:tcPr>
            <w:tcW w:w="1098" w:type="dxa"/>
          </w:tcPr>
          <w:p w:rsidR="000360D3" w:rsidRPr="000360D3" w:rsidRDefault="000360D3" w:rsidP="000360D3">
            <w:pPr>
              <w:rPr>
                <w:bCs/>
              </w:rPr>
            </w:pPr>
            <w:r w:rsidRPr="000360D3">
              <w:rPr>
                <w:bCs/>
              </w:rPr>
              <w:t>15</w:t>
            </w:r>
          </w:p>
        </w:tc>
      </w:tr>
      <w:tr w:rsidR="000360D3" w:rsidRPr="000360D3" w:rsidTr="000360D3">
        <w:tc>
          <w:tcPr>
            <w:tcW w:w="5778" w:type="dxa"/>
          </w:tcPr>
          <w:p w:rsidR="000360D3" w:rsidRPr="000360D3" w:rsidRDefault="000360D3" w:rsidP="000360D3">
            <w:pPr>
              <w:rPr>
                <w:b/>
                <w:bCs/>
              </w:rPr>
            </w:pPr>
            <w:r w:rsidRPr="000360D3">
              <w:rPr>
                <w:b/>
                <w:bCs/>
              </w:rPr>
              <w:t>Introduction, Overview, and one Resource Assessment</w:t>
            </w:r>
          </w:p>
        </w:tc>
        <w:tc>
          <w:tcPr>
            <w:tcW w:w="1980" w:type="dxa"/>
          </w:tcPr>
          <w:p w:rsidR="000360D3" w:rsidRPr="000360D3" w:rsidRDefault="00AE7577" w:rsidP="000360D3">
            <w:pPr>
              <w:rPr>
                <w:bCs/>
              </w:rPr>
            </w:pPr>
            <w:r>
              <w:rPr>
                <w:bCs/>
              </w:rPr>
              <w:t>2/20</w:t>
            </w:r>
          </w:p>
          <w:p w:rsidR="000360D3" w:rsidRPr="000360D3" w:rsidRDefault="000360D3" w:rsidP="000360D3"/>
        </w:tc>
        <w:tc>
          <w:tcPr>
            <w:tcW w:w="1098" w:type="dxa"/>
          </w:tcPr>
          <w:p w:rsidR="000360D3" w:rsidRPr="000360D3" w:rsidRDefault="000360D3" w:rsidP="000360D3">
            <w:pPr>
              <w:rPr>
                <w:bCs/>
              </w:rPr>
            </w:pPr>
            <w:r w:rsidRPr="000360D3">
              <w:rPr>
                <w:bCs/>
              </w:rPr>
              <w:t>25</w:t>
            </w:r>
          </w:p>
        </w:tc>
      </w:tr>
      <w:tr w:rsidR="000360D3" w:rsidRPr="000360D3" w:rsidTr="000360D3">
        <w:tc>
          <w:tcPr>
            <w:tcW w:w="5778" w:type="dxa"/>
          </w:tcPr>
          <w:p w:rsidR="000360D3" w:rsidRPr="000360D3" w:rsidRDefault="000360D3" w:rsidP="000360D3">
            <w:pPr>
              <w:rPr>
                <w:bCs/>
              </w:rPr>
            </w:pPr>
            <w:r w:rsidRPr="000360D3">
              <w:rPr>
                <w:b/>
                <w:bCs/>
              </w:rPr>
              <w:t>Course Page Final Project Presentations</w:t>
            </w:r>
            <w:r w:rsidRPr="000360D3">
              <w:rPr>
                <w:bCs/>
              </w:rPr>
              <w:t xml:space="preserve"> (5 minutes for </w:t>
            </w:r>
            <w:r w:rsidRPr="000360D3">
              <w:rPr>
                <w:bCs/>
              </w:rPr>
              <w:lastRenderedPageBreak/>
              <w:t xml:space="preserve">each student) – brief presentation on your topic, audience, and one to two highlights from your selected resources. Consider </w:t>
            </w:r>
            <w:hyperlink r:id="rId12" w:history="1">
              <w:r w:rsidRPr="000360D3">
                <w:rPr>
                  <w:rStyle w:val="Hyperlink"/>
                </w:rPr>
                <w:t>http://igniteshow.com/</w:t>
              </w:r>
            </w:hyperlink>
            <w:r w:rsidRPr="000360D3">
              <w:rPr>
                <w:bCs/>
              </w:rPr>
              <w:t xml:space="preserve"> as a model.</w:t>
            </w:r>
          </w:p>
        </w:tc>
        <w:tc>
          <w:tcPr>
            <w:tcW w:w="1980" w:type="dxa"/>
          </w:tcPr>
          <w:p w:rsidR="000360D3" w:rsidRPr="000360D3" w:rsidRDefault="00B048F2" w:rsidP="000360D3">
            <w:pPr>
              <w:rPr>
                <w:bCs/>
              </w:rPr>
            </w:pPr>
            <w:r>
              <w:rPr>
                <w:bCs/>
              </w:rPr>
              <w:lastRenderedPageBreak/>
              <w:t>4/24</w:t>
            </w:r>
          </w:p>
        </w:tc>
        <w:tc>
          <w:tcPr>
            <w:tcW w:w="1098" w:type="dxa"/>
          </w:tcPr>
          <w:p w:rsidR="000360D3" w:rsidRPr="000360D3" w:rsidRDefault="000360D3" w:rsidP="000360D3">
            <w:pPr>
              <w:rPr>
                <w:bCs/>
              </w:rPr>
            </w:pPr>
            <w:r w:rsidRPr="000360D3">
              <w:rPr>
                <w:bCs/>
              </w:rPr>
              <w:t>20</w:t>
            </w:r>
          </w:p>
        </w:tc>
      </w:tr>
      <w:tr w:rsidR="000360D3" w:rsidRPr="000360D3" w:rsidTr="000360D3">
        <w:tc>
          <w:tcPr>
            <w:tcW w:w="5778" w:type="dxa"/>
          </w:tcPr>
          <w:p w:rsidR="000360D3" w:rsidRPr="000360D3" w:rsidRDefault="000360D3" w:rsidP="000360D3">
            <w:pPr>
              <w:rPr>
                <w:bCs/>
              </w:rPr>
            </w:pPr>
            <w:r w:rsidRPr="000360D3">
              <w:rPr>
                <w:b/>
                <w:bCs/>
              </w:rPr>
              <w:lastRenderedPageBreak/>
              <w:t xml:space="preserve">Course Page Final Project </w:t>
            </w:r>
            <w:r w:rsidRPr="000360D3">
              <w:rPr>
                <w:bCs/>
              </w:rPr>
              <w:t>– must include one additional assessment of a related resource.</w:t>
            </w:r>
          </w:p>
        </w:tc>
        <w:tc>
          <w:tcPr>
            <w:tcW w:w="1980" w:type="dxa"/>
          </w:tcPr>
          <w:p w:rsidR="000360D3" w:rsidRPr="000360D3" w:rsidRDefault="00B048F2" w:rsidP="002C4500">
            <w:pPr>
              <w:rPr>
                <w:bCs/>
              </w:rPr>
            </w:pPr>
            <w:r>
              <w:rPr>
                <w:bCs/>
              </w:rPr>
              <w:t>4/24</w:t>
            </w:r>
          </w:p>
        </w:tc>
        <w:tc>
          <w:tcPr>
            <w:tcW w:w="1098" w:type="dxa"/>
          </w:tcPr>
          <w:p w:rsidR="000360D3" w:rsidRPr="000360D3" w:rsidRDefault="000360D3" w:rsidP="000360D3">
            <w:pPr>
              <w:rPr>
                <w:bCs/>
              </w:rPr>
            </w:pPr>
            <w:r w:rsidRPr="000360D3">
              <w:rPr>
                <w:bCs/>
              </w:rPr>
              <w:t>30</w:t>
            </w:r>
          </w:p>
        </w:tc>
      </w:tr>
      <w:tr w:rsidR="00E14CD4" w:rsidRPr="000360D3" w:rsidTr="000360D3">
        <w:tc>
          <w:tcPr>
            <w:tcW w:w="5778" w:type="dxa"/>
          </w:tcPr>
          <w:p w:rsidR="00E14CD4" w:rsidRPr="000360D3" w:rsidRDefault="00E14CD4" w:rsidP="000360D3">
            <w:pPr>
              <w:rPr>
                <w:b/>
                <w:bCs/>
              </w:rPr>
            </w:pPr>
            <w:r>
              <w:rPr>
                <w:b/>
                <w:bCs/>
              </w:rPr>
              <w:t xml:space="preserve">Course Page Reflection </w:t>
            </w:r>
          </w:p>
        </w:tc>
        <w:tc>
          <w:tcPr>
            <w:tcW w:w="1980" w:type="dxa"/>
          </w:tcPr>
          <w:p w:rsidR="00E14CD4" w:rsidRPr="000360D3" w:rsidRDefault="00B048F2" w:rsidP="000360D3">
            <w:pPr>
              <w:rPr>
                <w:bCs/>
              </w:rPr>
            </w:pPr>
            <w:r w:rsidRPr="00F53655">
              <w:rPr>
                <w:bCs/>
                <w:highlight w:val="yellow"/>
              </w:rPr>
              <w:t>TBA</w:t>
            </w:r>
          </w:p>
        </w:tc>
        <w:tc>
          <w:tcPr>
            <w:tcW w:w="1098" w:type="dxa"/>
          </w:tcPr>
          <w:p w:rsidR="00E14CD4" w:rsidRPr="000360D3" w:rsidRDefault="002C4500" w:rsidP="000360D3">
            <w:pPr>
              <w:rPr>
                <w:bCs/>
              </w:rPr>
            </w:pPr>
            <w:r>
              <w:rPr>
                <w:bCs/>
              </w:rPr>
              <w:t>10</w:t>
            </w:r>
          </w:p>
        </w:tc>
      </w:tr>
      <w:tr w:rsidR="000360D3" w:rsidRPr="000360D3" w:rsidTr="000360D3">
        <w:tc>
          <w:tcPr>
            <w:tcW w:w="5778" w:type="dxa"/>
          </w:tcPr>
          <w:p w:rsidR="000360D3" w:rsidRPr="000360D3" w:rsidRDefault="000360D3" w:rsidP="000360D3">
            <w:pPr>
              <w:rPr>
                <w:b/>
                <w:bCs/>
              </w:rPr>
            </w:pPr>
          </w:p>
        </w:tc>
        <w:tc>
          <w:tcPr>
            <w:tcW w:w="1980" w:type="dxa"/>
          </w:tcPr>
          <w:p w:rsidR="000360D3" w:rsidRPr="000360D3" w:rsidRDefault="000360D3" w:rsidP="000360D3">
            <w:pPr>
              <w:rPr>
                <w:bCs/>
              </w:rPr>
            </w:pPr>
          </w:p>
        </w:tc>
        <w:tc>
          <w:tcPr>
            <w:tcW w:w="1098" w:type="dxa"/>
          </w:tcPr>
          <w:p w:rsidR="000360D3" w:rsidRPr="000360D3" w:rsidRDefault="00BF2CDB" w:rsidP="000360D3">
            <w:pPr>
              <w:rPr>
                <w:bCs/>
              </w:rPr>
            </w:pPr>
            <w:r>
              <w:rPr>
                <w:bCs/>
              </w:rPr>
              <w:t>100</w:t>
            </w:r>
          </w:p>
        </w:tc>
      </w:tr>
    </w:tbl>
    <w:p w:rsidR="000143ED" w:rsidRDefault="000143ED" w:rsidP="000143ED"/>
    <w:p w:rsidR="00D53CA1" w:rsidRPr="00F53655" w:rsidRDefault="005E76FC" w:rsidP="0093778E">
      <w:pPr>
        <w:pStyle w:val="Heading2"/>
        <w:rPr>
          <w:b/>
        </w:rPr>
      </w:pPr>
      <w:r>
        <w:rPr>
          <w:b/>
        </w:rPr>
        <w:t xml:space="preserve">5) </w:t>
      </w:r>
      <w:r w:rsidR="00D53CA1" w:rsidRPr="00F53655">
        <w:rPr>
          <w:b/>
        </w:rPr>
        <w:t>Class participation</w:t>
      </w:r>
      <w:r w:rsidR="00B9755F">
        <w:rPr>
          <w:b/>
        </w:rPr>
        <w:t xml:space="preserve"> (20</w:t>
      </w:r>
      <w:r w:rsidR="00C200E2" w:rsidRPr="00F53655">
        <w:rPr>
          <w:b/>
        </w:rPr>
        <w:t>% of final grade)</w:t>
      </w:r>
      <w:r w:rsidR="00D53CA1" w:rsidRPr="00F53655">
        <w:rPr>
          <w:b/>
        </w:rPr>
        <w:t xml:space="preserve"> </w:t>
      </w:r>
    </w:p>
    <w:p w:rsidR="00D53CA1" w:rsidRDefault="00DD051C" w:rsidP="00D53CA1">
      <w:r>
        <w:rPr>
          <w:rFonts w:eastAsia="Times New Roman"/>
        </w:rPr>
        <w:t xml:space="preserve">Attendance is </w:t>
      </w:r>
      <w:r w:rsidRPr="00DD051C">
        <w:rPr>
          <w:rFonts w:eastAsia="Times New Roman"/>
          <w:u w:val="single"/>
        </w:rPr>
        <w:t>mandatory</w:t>
      </w:r>
      <w:r>
        <w:rPr>
          <w:rFonts w:eastAsia="Times New Roman"/>
        </w:rPr>
        <w:t xml:space="preserve">. </w:t>
      </w:r>
      <w:r w:rsidR="00D53CA1" w:rsidRPr="004E50C7">
        <w:rPr>
          <w:rFonts w:eastAsia="Times New Roman"/>
        </w:rPr>
        <w:t xml:space="preserve">Please arrive punctually to class and please be prepared to be an active and respectful participant during each class meeting. This depends not only on completing each reading before each class, but also on </w:t>
      </w:r>
      <w:r w:rsidR="00D53CA1">
        <w:rPr>
          <w:rFonts w:eastAsia="Times New Roman"/>
        </w:rPr>
        <w:t>reflecting upon</w:t>
      </w:r>
      <w:r w:rsidR="00D53CA1" w:rsidRPr="004E50C7">
        <w:rPr>
          <w:rFonts w:eastAsia="Times New Roman"/>
        </w:rPr>
        <w:t xml:space="preserve"> its most important themes and raising pertinent questions</w:t>
      </w:r>
      <w:r w:rsidR="002A326C">
        <w:rPr>
          <w:rFonts w:eastAsia="Times New Roman"/>
        </w:rPr>
        <w:t xml:space="preserve"> and engaging in respectful and informed dialogue with other members of the class</w:t>
      </w:r>
      <w:r w:rsidR="00D53CA1" w:rsidRPr="004E50C7">
        <w:rPr>
          <w:rFonts w:eastAsia="Times New Roman"/>
        </w:rPr>
        <w:t>. This is a three credit hour course, so please expect to spend six to nine hours each week on the course</w:t>
      </w:r>
      <w:r w:rsidR="00D53CA1">
        <w:rPr>
          <w:rFonts w:eastAsia="Times New Roman"/>
        </w:rPr>
        <w:t>—</w:t>
      </w:r>
      <w:r w:rsidR="00D53CA1" w:rsidRPr="004E50C7">
        <w:rPr>
          <w:rFonts w:eastAsia="Times New Roman"/>
        </w:rPr>
        <w:t xml:space="preserve">notwithstanding class time. </w:t>
      </w:r>
    </w:p>
    <w:p w:rsidR="00DD051C" w:rsidRDefault="00DD051C" w:rsidP="00D53CA1"/>
    <w:p w:rsidR="00D53CA1" w:rsidRDefault="00DD051C" w:rsidP="00D53CA1">
      <w:r w:rsidRPr="00DD051C">
        <w:t>Do not hesitate to speak out positively if in disagreement with instructor or peers or guest speakers; this course pivots around discussion, not lecture</w:t>
      </w:r>
      <w:r>
        <w:t>.</w:t>
      </w:r>
    </w:p>
    <w:p w:rsidR="002A326C" w:rsidRDefault="002A326C" w:rsidP="00DD051C"/>
    <w:p w:rsidR="00DD051C" w:rsidRPr="00DD051C" w:rsidRDefault="00DD051C" w:rsidP="00DD051C">
      <w:r w:rsidRPr="00DD051C">
        <w:t xml:space="preserve">You are welcome to bring a computer to class to assist in the learning process. It should be used for taking notes, for supplementing lectures, for conducting research required for class activities, and for other </w:t>
      </w:r>
      <w:r w:rsidRPr="008E2699">
        <w:rPr>
          <w:u w:val="single"/>
        </w:rPr>
        <w:t>specific</w:t>
      </w:r>
      <w:r w:rsidRPr="00DD051C">
        <w:t xml:space="preserve"> classroom tasks. In short, please use your laptop solely for professional behavior. Please avoid any off-task activities such as social networking sites; such off-task behavior will b</w:t>
      </w:r>
      <w:r w:rsidR="009434F9">
        <w:t xml:space="preserve">e penalized. In this vein, </w:t>
      </w:r>
      <w:r w:rsidRPr="00DD051C">
        <w:t>parts of class will be conducted specifically with a “laptop screens down” request.</w:t>
      </w:r>
    </w:p>
    <w:p w:rsidR="00DD051C" w:rsidRDefault="00DD051C" w:rsidP="00DD051C"/>
    <w:p w:rsidR="000250CF" w:rsidRPr="009C1C9C" w:rsidRDefault="009C1C9C" w:rsidP="00DD051C">
      <w:r w:rsidRPr="009C1C9C">
        <w:t xml:space="preserve">Before each session, please post at least one discussion question anchored in the reading. Please post your question by </w:t>
      </w:r>
      <w:r w:rsidR="008A1059">
        <w:t>the Wednesday BEFORE class</w:t>
      </w:r>
      <w:r w:rsidRPr="009C1C9C">
        <w:t xml:space="preserve"> at 9 p.m. Similarly, t</w:t>
      </w:r>
      <w:r w:rsidR="00353BBF" w:rsidRPr="009C1C9C">
        <w:t>his class features numerous g</w:t>
      </w:r>
      <w:r w:rsidR="000250CF" w:rsidRPr="009C1C9C">
        <w:t>uest speakers</w:t>
      </w:r>
      <w:r w:rsidR="00353BBF" w:rsidRPr="009C1C9C">
        <w:t>. Before each session in which a guest will work with us, please post three</w:t>
      </w:r>
      <w:r w:rsidR="000250CF" w:rsidRPr="009C1C9C">
        <w:t xml:space="preserve"> questions </w:t>
      </w:r>
      <w:r w:rsidR="00353BBF" w:rsidRPr="009C1C9C">
        <w:t xml:space="preserve">for him or her </w:t>
      </w:r>
      <w:r w:rsidR="000250CF" w:rsidRPr="009C1C9C">
        <w:t xml:space="preserve">on Sakai </w:t>
      </w:r>
      <w:r w:rsidR="00353BBF" w:rsidRPr="009C1C9C">
        <w:t xml:space="preserve">Forum </w:t>
      </w:r>
      <w:r w:rsidRPr="009C1C9C">
        <w:t xml:space="preserve">by </w:t>
      </w:r>
      <w:r w:rsidR="008A1059">
        <w:t>Wednesday</w:t>
      </w:r>
      <w:r w:rsidRPr="009C1C9C">
        <w:t xml:space="preserve"> </w:t>
      </w:r>
      <w:r>
        <w:t xml:space="preserve">at </w:t>
      </w:r>
      <w:r w:rsidRPr="009C1C9C">
        <w:t xml:space="preserve">9 p.m. </w:t>
      </w:r>
    </w:p>
    <w:p w:rsidR="009C1C9C" w:rsidRPr="00DD051C" w:rsidRDefault="009C1C9C" w:rsidP="00DD051C"/>
    <w:p w:rsidR="00DD051C" w:rsidRPr="00DD051C" w:rsidRDefault="00DD051C" w:rsidP="00DD051C">
      <w:r w:rsidRPr="00DD051C">
        <w:t xml:space="preserve">The rubric below sets out the criteria for the evaluation of participation in this course. It applies both to individual and to group work. Active, engaged participation is critical for success in the classroom. </w:t>
      </w:r>
    </w:p>
    <w:p w:rsidR="00DD051C" w:rsidRPr="00DD051C" w:rsidRDefault="00DD051C" w:rsidP="00DD051C"/>
    <w:p w:rsidR="00DD051C" w:rsidRPr="00DD051C" w:rsidRDefault="00DD051C" w:rsidP="00DD051C">
      <w:r w:rsidRPr="00DD051C">
        <w:t>Class participation rubric (adapted from the University of Pittsburgh’s LIS course, Archives &amp; Records Management):</w:t>
      </w:r>
    </w:p>
    <w:tbl>
      <w:tblPr>
        <w:tblStyle w:val="TableGrid"/>
        <w:tblW w:w="9576" w:type="dxa"/>
        <w:tblLook w:val="04A0" w:firstRow="1" w:lastRow="0" w:firstColumn="1" w:lastColumn="0" w:noHBand="0" w:noVBand="1"/>
      </w:tblPr>
      <w:tblGrid>
        <w:gridCol w:w="2394"/>
        <w:gridCol w:w="2394"/>
        <w:gridCol w:w="2394"/>
        <w:gridCol w:w="2394"/>
      </w:tblGrid>
      <w:tr w:rsidR="00DD051C" w:rsidRPr="00DD051C" w:rsidTr="001257B9">
        <w:tc>
          <w:tcPr>
            <w:tcW w:w="2394" w:type="dxa"/>
          </w:tcPr>
          <w:p w:rsidR="00DD051C" w:rsidRPr="00DD051C" w:rsidRDefault="00DD051C" w:rsidP="00DD051C"/>
        </w:tc>
        <w:tc>
          <w:tcPr>
            <w:tcW w:w="2394" w:type="dxa"/>
          </w:tcPr>
          <w:p w:rsidR="00DD051C" w:rsidRPr="00DD051C" w:rsidRDefault="00DD051C" w:rsidP="00DD051C">
            <w:r w:rsidRPr="00DD051C">
              <w:t>Strong</w:t>
            </w:r>
          </w:p>
        </w:tc>
        <w:tc>
          <w:tcPr>
            <w:tcW w:w="2394" w:type="dxa"/>
          </w:tcPr>
          <w:p w:rsidR="00DD051C" w:rsidRPr="00DD051C" w:rsidRDefault="00DD051C" w:rsidP="00DD051C">
            <w:r w:rsidRPr="00DD051C">
              <w:t>Needs development</w:t>
            </w:r>
          </w:p>
        </w:tc>
        <w:tc>
          <w:tcPr>
            <w:tcW w:w="2394" w:type="dxa"/>
          </w:tcPr>
          <w:p w:rsidR="00DD051C" w:rsidRPr="00DD051C" w:rsidRDefault="00DD051C" w:rsidP="00DD051C">
            <w:r w:rsidRPr="00DD051C">
              <w:t>Unsatisfactory</w:t>
            </w:r>
          </w:p>
        </w:tc>
      </w:tr>
      <w:tr w:rsidR="00DD051C" w:rsidRPr="00DD051C" w:rsidTr="001257B9">
        <w:tc>
          <w:tcPr>
            <w:tcW w:w="2394" w:type="dxa"/>
          </w:tcPr>
          <w:p w:rsidR="00DD051C" w:rsidRPr="00DD051C" w:rsidRDefault="00DD051C" w:rsidP="00DD051C">
            <w:r w:rsidRPr="00DD051C">
              <w:t>Preparation</w:t>
            </w:r>
          </w:p>
        </w:tc>
        <w:tc>
          <w:tcPr>
            <w:tcW w:w="2394" w:type="dxa"/>
          </w:tcPr>
          <w:p w:rsidR="00DD051C" w:rsidRPr="00DD051C" w:rsidRDefault="00DD051C" w:rsidP="00DD051C">
            <w:r w:rsidRPr="00DD051C">
              <w:t>Arrives with notes, observations, and questions.</w:t>
            </w:r>
          </w:p>
        </w:tc>
        <w:tc>
          <w:tcPr>
            <w:tcW w:w="2394" w:type="dxa"/>
          </w:tcPr>
          <w:p w:rsidR="00DD051C" w:rsidRPr="00DD051C" w:rsidRDefault="00DD051C" w:rsidP="00DD051C">
            <w:r w:rsidRPr="00DD051C">
              <w:t>Sometimes arrives unprepared.</w:t>
            </w:r>
          </w:p>
        </w:tc>
        <w:tc>
          <w:tcPr>
            <w:tcW w:w="2394" w:type="dxa"/>
          </w:tcPr>
          <w:p w:rsidR="00DD051C" w:rsidRPr="00DD051C" w:rsidRDefault="00DD051C" w:rsidP="00DD051C">
            <w:r w:rsidRPr="00DD051C">
              <w:t xml:space="preserve">Shows little if any indication of having prepared for class or having read the assigned materials. </w:t>
            </w:r>
          </w:p>
        </w:tc>
      </w:tr>
      <w:tr w:rsidR="00DD051C" w:rsidRPr="00DD051C" w:rsidTr="001257B9">
        <w:tc>
          <w:tcPr>
            <w:tcW w:w="2394" w:type="dxa"/>
          </w:tcPr>
          <w:p w:rsidR="00DD051C" w:rsidRPr="00DD051C" w:rsidRDefault="00DD051C" w:rsidP="00DD051C">
            <w:r w:rsidRPr="00DD051C">
              <w:t>Listening</w:t>
            </w:r>
          </w:p>
        </w:tc>
        <w:tc>
          <w:tcPr>
            <w:tcW w:w="2394" w:type="dxa"/>
          </w:tcPr>
          <w:p w:rsidR="00DD051C" w:rsidRPr="00DD051C" w:rsidRDefault="00DD051C" w:rsidP="00DD051C">
            <w:r w:rsidRPr="00DD051C">
              <w:t>Actively supports, listens, and engages.</w:t>
            </w:r>
          </w:p>
        </w:tc>
        <w:tc>
          <w:tcPr>
            <w:tcW w:w="2394" w:type="dxa"/>
          </w:tcPr>
          <w:p w:rsidR="00DD051C" w:rsidRPr="00DD051C" w:rsidRDefault="00DD051C" w:rsidP="00DD051C">
            <w:r w:rsidRPr="00DD051C">
              <w:t xml:space="preserve">Shows effort to interact but at times shows disinterest in </w:t>
            </w:r>
            <w:r w:rsidRPr="00DD051C">
              <w:lastRenderedPageBreak/>
              <w:t>peer contributions.</w:t>
            </w:r>
          </w:p>
        </w:tc>
        <w:tc>
          <w:tcPr>
            <w:tcW w:w="2394" w:type="dxa"/>
          </w:tcPr>
          <w:p w:rsidR="00DD051C" w:rsidRPr="00DD051C" w:rsidRDefault="00DD051C" w:rsidP="00DD051C">
            <w:r w:rsidRPr="00DD051C">
              <w:lastRenderedPageBreak/>
              <w:t xml:space="preserve">Limited or no interaction with peers and may exhibit </w:t>
            </w:r>
            <w:r w:rsidRPr="00DD051C">
              <w:lastRenderedPageBreak/>
              <w:t>disrespect.</w:t>
            </w:r>
          </w:p>
        </w:tc>
      </w:tr>
      <w:tr w:rsidR="00DD051C" w:rsidRPr="00DD051C" w:rsidTr="001257B9">
        <w:tc>
          <w:tcPr>
            <w:tcW w:w="2394" w:type="dxa"/>
          </w:tcPr>
          <w:p w:rsidR="00DD051C" w:rsidRPr="00DD051C" w:rsidRDefault="00DD051C" w:rsidP="00DD051C">
            <w:r w:rsidRPr="00DD051C">
              <w:lastRenderedPageBreak/>
              <w:t>Quality of contributions</w:t>
            </w:r>
          </w:p>
        </w:tc>
        <w:tc>
          <w:tcPr>
            <w:tcW w:w="2394" w:type="dxa"/>
          </w:tcPr>
          <w:p w:rsidR="00DD051C" w:rsidRPr="00DD051C" w:rsidRDefault="00DD051C" w:rsidP="00DD051C">
            <w:r w:rsidRPr="00DD051C">
              <w:t>Comments and questions are relevant and show close reading and keen insight.</w:t>
            </w:r>
          </w:p>
        </w:tc>
        <w:tc>
          <w:tcPr>
            <w:tcW w:w="2394" w:type="dxa"/>
          </w:tcPr>
          <w:p w:rsidR="00DD051C" w:rsidRPr="00DD051C" w:rsidRDefault="00DD051C" w:rsidP="00DD051C">
            <w:r w:rsidRPr="00DD051C">
              <w:t>Participates constructively but unevenly. Comments and questions are at times irrelevant or lack depth.</w:t>
            </w:r>
          </w:p>
        </w:tc>
        <w:tc>
          <w:tcPr>
            <w:tcW w:w="2394" w:type="dxa"/>
          </w:tcPr>
          <w:p w:rsidR="00DD051C" w:rsidRPr="00DD051C" w:rsidRDefault="00DD051C" w:rsidP="00DD051C">
            <w:r w:rsidRPr="00DD051C">
              <w:t>Never participates or participates only when prodded and does so perfunctorily. Shows little interest in materials or peer contributions.</w:t>
            </w:r>
          </w:p>
        </w:tc>
      </w:tr>
      <w:tr w:rsidR="00DD051C" w:rsidRPr="00DD051C" w:rsidTr="001257B9">
        <w:tc>
          <w:tcPr>
            <w:tcW w:w="2394" w:type="dxa"/>
          </w:tcPr>
          <w:p w:rsidR="00DD051C" w:rsidRPr="00DD051C" w:rsidRDefault="00DD051C" w:rsidP="00DD051C">
            <w:r w:rsidRPr="00DD051C">
              <w:t xml:space="preserve">Frequency of participation </w:t>
            </w:r>
          </w:p>
        </w:tc>
        <w:tc>
          <w:tcPr>
            <w:tcW w:w="2394" w:type="dxa"/>
          </w:tcPr>
          <w:p w:rsidR="00DD051C" w:rsidRPr="00DD051C" w:rsidRDefault="00DD051C" w:rsidP="00DD051C">
            <w:r w:rsidRPr="00DD051C">
              <w:t>Participates actively at appropriate times.</w:t>
            </w:r>
          </w:p>
        </w:tc>
        <w:tc>
          <w:tcPr>
            <w:tcW w:w="2394" w:type="dxa"/>
          </w:tcPr>
          <w:p w:rsidR="00DD051C" w:rsidRPr="00DD051C" w:rsidRDefault="00DD051C" w:rsidP="00DD051C">
            <w:r w:rsidRPr="00DD051C">
              <w:t>Participates sometimes but fails always to be attentive.</w:t>
            </w:r>
          </w:p>
        </w:tc>
        <w:tc>
          <w:tcPr>
            <w:tcW w:w="2394" w:type="dxa"/>
          </w:tcPr>
          <w:p w:rsidR="00DD051C" w:rsidRPr="00DD051C" w:rsidRDefault="00DD051C" w:rsidP="00DD051C">
            <w:r w:rsidRPr="00DD051C">
              <w:t>Rarely participates and is not generally engaged.</w:t>
            </w:r>
          </w:p>
        </w:tc>
      </w:tr>
      <w:tr w:rsidR="00DD051C" w:rsidRPr="00DD051C" w:rsidTr="001257B9">
        <w:tc>
          <w:tcPr>
            <w:tcW w:w="2394" w:type="dxa"/>
          </w:tcPr>
          <w:p w:rsidR="00DD051C" w:rsidRPr="00DD051C" w:rsidRDefault="00DD051C" w:rsidP="00DD051C">
            <w:r w:rsidRPr="00DD051C">
              <w:t xml:space="preserve">Impact on seminar </w:t>
            </w:r>
          </w:p>
        </w:tc>
        <w:tc>
          <w:tcPr>
            <w:tcW w:w="2394" w:type="dxa"/>
          </w:tcPr>
          <w:p w:rsidR="00DD051C" w:rsidRPr="00DD051C" w:rsidRDefault="00DD051C" w:rsidP="00DD051C">
            <w:r w:rsidRPr="00DD051C">
              <w:t xml:space="preserve">Moves discussion forward; class members benefit from student’s contributions and group dynamic is enhanced. </w:t>
            </w:r>
          </w:p>
        </w:tc>
        <w:tc>
          <w:tcPr>
            <w:tcW w:w="2394" w:type="dxa"/>
          </w:tcPr>
          <w:p w:rsidR="00DD051C" w:rsidRPr="00DD051C" w:rsidRDefault="00DD051C" w:rsidP="00DD051C">
            <w:r w:rsidRPr="00DD051C">
              <w:t>Sometimes advances discussion but at other times seems merely filler. Group dynamics are sometimes better (but never worse) as a result of student participation.</w:t>
            </w:r>
          </w:p>
        </w:tc>
        <w:tc>
          <w:tcPr>
            <w:tcW w:w="2394" w:type="dxa"/>
          </w:tcPr>
          <w:p w:rsidR="00DD051C" w:rsidRPr="00DD051C" w:rsidRDefault="00DD051C" w:rsidP="00DD051C">
            <w:r w:rsidRPr="00DD051C">
              <w:t>Comments and questions fail to advance conversation. Group dynamics are impaired as a result of student’s participation.</w:t>
            </w:r>
          </w:p>
        </w:tc>
      </w:tr>
    </w:tbl>
    <w:p w:rsidR="00DD051C" w:rsidRPr="00DD051C" w:rsidRDefault="00DD051C" w:rsidP="00DD051C"/>
    <w:p w:rsidR="00D53CA1" w:rsidRDefault="00DD051C" w:rsidP="00DD051C">
      <w:r w:rsidRPr="00DD051C">
        <w:t>Please notify me if an unexpected problem arises for you during the course of the semester (serious illness, etc.) and we will formulate an appropriate plan. If you need to miss class because of a religious holiday, we can make alternative arrangements for this as well.</w:t>
      </w:r>
    </w:p>
    <w:p w:rsidR="00D53CA1" w:rsidRDefault="00D53CA1" w:rsidP="000143ED"/>
    <w:p w:rsidR="000143ED" w:rsidRPr="00F53655" w:rsidRDefault="000143ED" w:rsidP="0093778E">
      <w:pPr>
        <w:pStyle w:val="Heading2"/>
        <w:rPr>
          <w:b/>
        </w:rPr>
      </w:pPr>
      <w:r w:rsidRPr="00F53655">
        <w:rPr>
          <w:b/>
        </w:rPr>
        <w:t>Overall Grading Policy</w:t>
      </w:r>
    </w:p>
    <w:p w:rsidR="000143ED" w:rsidRPr="00181A8E" w:rsidRDefault="000143ED" w:rsidP="000143ED">
      <w:r w:rsidRPr="00181A8E">
        <w:t>Based on UNC Registrar Policy for graduate-level courses (http://registrar.unc.edu/AcademicServices/Grades/ExplanationofGradingSystem/index.htm#grad), both assignment and semester grades will be H, P, L or F. Few students will obtain an “H,” which indicates an exceptionally high level of performance (higher than an “A” in an A-F systems). The following is a more detailed breakdown used for class assignments:</w:t>
      </w:r>
    </w:p>
    <w:p w:rsidR="000143ED" w:rsidRPr="00181A8E" w:rsidRDefault="000143ED" w:rsidP="000143ED"/>
    <w:p w:rsidR="000143ED" w:rsidRPr="00181A8E" w:rsidRDefault="000143ED" w:rsidP="000143ED">
      <w:r w:rsidRPr="00181A8E">
        <w:t>H: Superior work: complete command of subject, unusual depth, great creativity or originality</w:t>
      </w:r>
    </w:p>
    <w:p w:rsidR="000143ED" w:rsidRPr="00181A8E" w:rsidRDefault="000143ED" w:rsidP="000143ED">
      <w:r w:rsidRPr="00181A8E">
        <w:t>P+: Above average performance: solid work somewhat beyond what was required and good command of the material</w:t>
      </w:r>
    </w:p>
    <w:p w:rsidR="000143ED" w:rsidRPr="00181A8E" w:rsidRDefault="000143ED" w:rsidP="000143ED">
      <w:r w:rsidRPr="00181A8E">
        <w:t>P: Satisfactory performance that meets course requirements (expected to be the median grade of all students in the course)</w:t>
      </w:r>
    </w:p>
    <w:p w:rsidR="000143ED" w:rsidRPr="00181A8E" w:rsidRDefault="000143ED" w:rsidP="000143ED">
      <w:r w:rsidRPr="00181A8E">
        <w:t>P-: Acceptable work in need of improvement</w:t>
      </w:r>
    </w:p>
    <w:p w:rsidR="000143ED" w:rsidRPr="00181A8E" w:rsidRDefault="000143ED" w:rsidP="000143ED">
      <w:r w:rsidRPr="00181A8E">
        <w:t>L: Unacceptable graduate performance: substandard in significant ways</w:t>
      </w:r>
    </w:p>
    <w:p w:rsidR="000143ED" w:rsidRPr="00181A8E" w:rsidRDefault="000143ED" w:rsidP="000143ED">
      <w:r w:rsidRPr="00181A8E">
        <w:t>F: Performance that is seriously deficient and unworthy of graduate credit</w:t>
      </w:r>
    </w:p>
    <w:p w:rsidR="000143ED" w:rsidRPr="00181A8E" w:rsidRDefault="000143ED" w:rsidP="000143ED"/>
    <w:p w:rsidR="000143ED" w:rsidRPr="00181A8E" w:rsidRDefault="000143ED" w:rsidP="000143ED">
      <w:r w:rsidRPr="00181A8E">
        <w:t xml:space="preserve">I (incomplete): Incomplete grades will not be given for this course unless the instructors are notified at least two weeks in advance of the end of the term of serious circumstances affecting a student’s ability to complete the course requirements by the assigned dates. If an incomplete is granted, all outstanding assignments must be turned into the instructors by a date to be </w:t>
      </w:r>
      <w:r w:rsidRPr="00181A8E">
        <w:lastRenderedPageBreak/>
        <w:t>determined by the instructors. Please be aware that the UNC Registrar converts any Incomplete automatically to a Fail after one year.</w:t>
      </w:r>
    </w:p>
    <w:p w:rsidR="000143ED" w:rsidRPr="00F53655" w:rsidRDefault="000143ED" w:rsidP="0093778E">
      <w:pPr>
        <w:pStyle w:val="Heading1"/>
        <w:rPr>
          <w:b/>
        </w:rPr>
      </w:pPr>
      <w:r w:rsidRPr="00F53655">
        <w:rPr>
          <w:b/>
        </w:rPr>
        <w:t>Academic honesty and integrity</w:t>
      </w:r>
    </w:p>
    <w:p w:rsidR="000143ED" w:rsidRPr="00BE40A2" w:rsidRDefault="000143ED" w:rsidP="000143ED">
      <w:r w:rsidRPr="00BE40A2">
        <w:t>The grading and academic standards for this course follow the conventions established at SILS.  The School’s basic academic policies are at</w:t>
      </w:r>
      <w:hyperlink r:id="rId13">
        <w:r w:rsidRPr="00BE40A2">
          <w:rPr>
            <w:rStyle w:val="Hyperlink"/>
          </w:rPr>
          <w:t xml:space="preserve"> </w:t>
        </w:r>
      </w:hyperlink>
      <w:hyperlink r:id="rId14">
        <w:r w:rsidRPr="00BE40A2">
          <w:rPr>
            <w:rStyle w:val="Hyperlink"/>
          </w:rPr>
          <w:t>http://sils.unc.edu/programs/msls/policies.html</w:t>
        </w:r>
      </w:hyperlink>
    </w:p>
    <w:p w:rsidR="000143ED" w:rsidRPr="00BE40A2" w:rsidRDefault="000143ED" w:rsidP="000143ED">
      <w:r w:rsidRPr="00BE40A2">
        <w:t xml:space="preserve"> </w:t>
      </w:r>
    </w:p>
    <w:p w:rsidR="000143ED" w:rsidRDefault="000143ED" w:rsidP="000143ED">
      <w:r>
        <w:t>S</w:t>
      </w:r>
      <w:r w:rsidRPr="003173A9">
        <w:t>tudents ar</w:t>
      </w:r>
      <w:r w:rsidR="0093778E">
        <w:t xml:space="preserve">e expected to follow the Honor </w:t>
      </w:r>
      <w:r w:rsidRPr="003173A9">
        <w:t xml:space="preserve">Code: </w:t>
      </w:r>
      <w:hyperlink r:id="rId15" w:history="1">
        <w:r w:rsidRPr="004C37F0">
          <w:rPr>
            <w:rStyle w:val="Hyperlink"/>
          </w:rPr>
          <w:t>http://honor.unc.edu/</w:t>
        </w:r>
      </w:hyperlink>
      <w:r>
        <w:t xml:space="preserve"> </w:t>
      </w:r>
    </w:p>
    <w:p w:rsidR="000143ED" w:rsidRPr="00F53655" w:rsidRDefault="000143ED" w:rsidP="0093778E">
      <w:pPr>
        <w:pStyle w:val="Heading1"/>
        <w:rPr>
          <w:b/>
        </w:rPr>
      </w:pPr>
      <w:r w:rsidRPr="00F53655">
        <w:rPr>
          <w:b/>
        </w:rPr>
        <w:t>Diversity Statement</w:t>
      </w:r>
    </w:p>
    <w:p w:rsidR="000143ED" w:rsidRPr="003E2ACB" w:rsidRDefault="000143ED" w:rsidP="000143ED">
      <w:r w:rsidRPr="003E2ACB">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rsidR="000143ED" w:rsidRPr="003E2ACB" w:rsidRDefault="000143ED" w:rsidP="000143ED">
      <w:pPr>
        <w:numPr>
          <w:ilvl w:val="0"/>
          <w:numId w:val="2"/>
        </w:numPr>
      </w:pPr>
      <w:r w:rsidRPr="003E2ACB">
        <w:t xml:space="preserve">Ensure inclusive leadership, policies, and practices; </w:t>
      </w:r>
    </w:p>
    <w:p w:rsidR="000143ED" w:rsidRPr="003E2ACB" w:rsidRDefault="000143ED" w:rsidP="000143ED">
      <w:pPr>
        <w:numPr>
          <w:ilvl w:val="0"/>
          <w:numId w:val="2"/>
        </w:numPr>
      </w:pPr>
      <w:r w:rsidRPr="003E2ACB">
        <w:t xml:space="preserve">Integrate diversity into the curriculum and research; </w:t>
      </w:r>
    </w:p>
    <w:p w:rsidR="000143ED" w:rsidRPr="003E2ACB" w:rsidRDefault="000143ED" w:rsidP="000143ED">
      <w:pPr>
        <w:numPr>
          <w:ilvl w:val="0"/>
          <w:numId w:val="2"/>
        </w:numPr>
      </w:pPr>
      <w:r w:rsidRPr="003E2ACB">
        <w:t>Foster a mutually respectful intellectual environment in which diverse opinions are valued;</w:t>
      </w:r>
    </w:p>
    <w:p w:rsidR="000143ED" w:rsidRPr="003E2ACB" w:rsidRDefault="000143ED" w:rsidP="000143ED">
      <w:pPr>
        <w:numPr>
          <w:ilvl w:val="0"/>
          <w:numId w:val="2"/>
        </w:numPr>
      </w:pPr>
      <w:r w:rsidRPr="003E2ACB">
        <w:t xml:space="preserve">Recruit traditionally underrepresented groups of students, faculty, and staff; and </w:t>
      </w:r>
    </w:p>
    <w:p w:rsidR="000143ED" w:rsidRPr="003E2ACB" w:rsidRDefault="000143ED" w:rsidP="000143ED">
      <w:pPr>
        <w:numPr>
          <w:ilvl w:val="0"/>
          <w:numId w:val="2"/>
        </w:numPr>
      </w:pPr>
      <w:r w:rsidRPr="003E2ACB">
        <w:t xml:space="preserve">Participate in outreach to underserved groups in the State.  </w:t>
      </w:r>
    </w:p>
    <w:p w:rsidR="000143ED" w:rsidRDefault="000143ED" w:rsidP="000143ED"/>
    <w:p w:rsidR="00144AD3" w:rsidRDefault="000143ED">
      <w:r w:rsidRPr="003E2ACB">
        <w:t>The statement represents a commitment of resources to the development and maintenance of an academic environment that is open, representative, reflective, and committed to the concepts of equity and fairness.</w:t>
      </w:r>
    </w:p>
    <w:sectPr w:rsidR="00144AD3" w:rsidSect="00E11D52">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C1" w:rsidRDefault="004463C1" w:rsidP="000143ED">
      <w:r>
        <w:separator/>
      </w:r>
    </w:p>
  </w:endnote>
  <w:endnote w:type="continuationSeparator" w:id="0">
    <w:p w:rsidR="004463C1" w:rsidRDefault="004463C1" w:rsidP="0001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C1" w:rsidRDefault="004463C1" w:rsidP="000143ED">
      <w:r>
        <w:separator/>
      </w:r>
    </w:p>
  </w:footnote>
  <w:footnote w:type="continuationSeparator" w:id="0">
    <w:p w:rsidR="004463C1" w:rsidRDefault="004463C1" w:rsidP="000143ED">
      <w:r>
        <w:continuationSeparator/>
      </w:r>
    </w:p>
  </w:footnote>
  <w:footnote w:id="1">
    <w:p w:rsidR="000143ED" w:rsidRDefault="000143ED" w:rsidP="000143ED">
      <w:pPr>
        <w:pStyle w:val="FootnoteText"/>
      </w:pPr>
      <w:r>
        <w:rPr>
          <w:rStyle w:val="FootnoteReference"/>
        </w:rPr>
        <w:footnoteRef/>
      </w:r>
      <w:r>
        <w:t xml:space="preserve"> This syllabus owes a great deal to Dr. Claudia Gollop, Dr. Jeffrey Pomerantz, </w:t>
      </w:r>
      <w:r w:rsidR="007D55F6">
        <w:t xml:space="preserve">Emily </w:t>
      </w:r>
      <w:r w:rsidR="00D40DE7">
        <w:t xml:space="preserve">Vardell, </w:t>
      </w:r>
      <w:r>
        <w:t>Amber Cushing, and Sarah Stokes.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20985"/>
      <w:docPartObj>
        <w:docPartGallery w:val="Page Numbers (Top of Page)"/>
        <w:docPartUnique/>
      </w:docPartObj>
    </w:sdtPr>
    <w:sdtEndPr>
      <w:rPr>
        <w:noProof/>
      </w:rPr>
    </w:sdtEndPr>
    <w:sdtContent>
      <w:p w:rsidR="000143ED" w:rsidRDefault="000143ED">
        <w:pPr>
          <w:pStyle w:val="Header"/>
          <w:jc w:val="right"/>
        </w:pPr>
        <w:r>
          <w:fldChar w:fldCharType="begin"/>
        </w:r>
        <w:r>
          <w:instrText xml:space="preserve"> PAGE   \* MERGEFORMAT </w:instrText>
        </w:r>
        <w:r>
          <w:fldChar w:fldCharType="separate"/>
        </w:r>
        <w:r w:rsidR="004F62A3">
          <w:rPr>
            <w:noProof/>
          </w:rPr>
          <w:t>1</w:t>
        </w:r>
        <w:r>
          <w:rPr>
            <w:noProof/>
          </w:rPr>
          <w:fldChar w:fldCharType="end"/>
        </w:r>
      </w:p>
    </w:sdtContent>
  </w:sdt>
  <w:p w:rsidR="000143ED" w:rsidRDefault="00014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C81"/>
    <w:multiLevelType w:val="hybridMultilevel"/>
    <w:tmpl w:val="26AE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43AFA"/>
    <w:multiLevelType w:val="hybridMultilevel"/>
    <w:tmpl w:val="F1F01086"/>
    <w:lvl w:ilvl="0" w:tplc="1F8ED9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863B6F"/>
    <w:multiLevelType w:val="hybridMultilevel"/>
    <w:tmpl w:val="AF4ED1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34A6E91"/>
    <w:multiLevelType w:val="hybridMultilevel"/>
    <w:tmpl w:val="E79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2458"/>
    <w:multiLevelType w:val="hybridMultilevel"/>
    <w:tmpl w:val="155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C4C35"/>
    <w:multiLevelType w:val="hybridMultilevel"/>
    <w:tmpl w:val="D378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C01EB"/>
    <w:multiLevelType w:val="hybridMultilevel"/>
    <w:tmpl w:val="9C8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658EC"/>
    <w:multiLevelType w:val="hybridMultilevel"/>
    <w:tmpl w:val="6D36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45C03"/>
    <w:multiLevelType w:val="hybridMultilevel"/>
    <w:tmpl w:val="3DD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ED"/>
    <w:rsid w:val="000143ED"/>
    <w:rsid w:val="000250CF"/>
    <w:rsid w:val="000360D3"/>
    <w:rsid w:val="000528E3"/>
    <w:rsid w:val="000824D8"/>
    <w:rsid w:val="00084712"/>
    <w:rsid w:val="000D3569"/>
    <w:rsid w:val="000E5293"/>
    <w:rsid w:val="000F2F4D"/>
    <w:rsid w:val="00100576"/>
    <w:rsid w:val="00106A06"/>
    <w:rsid w:val="00116BC6"/>
    <w:rsid w:val="00122291"/>
    <w:rsid w:val="001254D0"/>
    <w:rsid w:val="00144AD3"/>
    <w:rsid w:val="001532E0"/>
    <w:rsid w:val="00174316"/>
    <w:rsid w:val="001A3755"/>
    <w:rsid w:val="001B4518"/>
    <w:rsid w:val="001D01E2"/>
    <w:rsid w:val="00217B4C"/>
    <w:rsid w:val="0027369A"/>
    <w:rsid w:val="00275020"/>
    <w:rsid w:val="002A326C"/>
    <w:rsid w:val="002B24C2"/>
    <w:rsid w:val="002C4500"/>
    <w:rsid w:val="002E26DF"/>
    <w:rsid w:val="002E401B"/>
    <w:rsid w:val="003213DC"/>
    <w:rsid w:val="003521E5"/>
    <w:rsid w:val="00353BBF"/>
    <w:rsid w:val="00366C35"/>
    <w:rsid w:val="00380542"/>
    <w:rsid w:val="003A3624"/>
    <w:rsid w:val="003F5028"/>
    <w:rsid w:val="004144E9"/>
    <w:rsid w:val="00422C38"/>
    <w:rsid w:val="00441ED7"/>
    <w:rsid w:val="004463C1"/>
    <w:rsid w:val="00451AF2"/>
    <w:rsid w:val="00455752"/>
    <w:rsid w:val="004779AF"/>
    <w:rsid w:val="00484ECD"/>
    <w:rsid w:val="00494711"/>
    <w:rsid w:val="00497F8F"/>
    <w:rsid w:val="004D06A4"/>
    <w:rsid w:val="004D6F03"/>
    <w:rsid w:val="004F62A3"/>
    <w:rsid w:val="0055038E"/>
    <w:rsid w:val="00574DFF"/>
    <w:rsid w:val="005A19AC"/>
    <w:rsid w:val="005A682B"/>
    <w:rsid w:val="005C4EB6"/>
    <w:rsid w:val="005C6B37"/>
    <w:rsid w:val="005E76FC"/>
    <w:rsid w:val="00606AE4"/>
    <w:rsid w:val="00615A00"/>
    <w:rsid w:val="00640739"/>
    <w:rsid w:val="006872DD"/>
    <w:rsid w:val="006A39BE"/>
    <w:rsid w:val="006B0708"/>
    <w:rsid w:val="006B380D"/>
    <w:rsid w:val="006E2E34"/>
    <w:rsid w:val="006F1AF0"/>
    <w:rsid w:val="00715BD5"/>
    <w:rsid w:val="00730E7B"/>
    <w:rsid w:val="00731BF7"/>
    <w:rsid w:val="0074703E"/>
    <w:rsid w:val="007479BE"/>
    <w:rsid w:val="00786045"/>
    <w:rsid w:val="007D0776"/>
    <w:rsid w:val="007D36F8"/>
    <w:rsid w:val="007D55F6"/>
    <w:rsid w:val="00817BE2"/>
    <w:rsid w:val="008A1059"/>
    <w:rsid w:val="008B453E"/>
    <w:rsid w:val="008E2699"/>
    <w:rsid w:val="008E7BAA"/>
    <w:rsid w:val="008F087D"/>
    <w:rsid w:val="008F1506"/>
    <w:rsid w:val="0093778E"/>
    <w:rsid w:val="009434E3"/>
    <w:rsid w:val="009434F9"/>
    <w:rsid w:val="00992030"/>
    <w:rsid w:val="009A076F"/>
    <w:rsid w:val="009C1C9C"/>
    <w:rsid w:val="009C4AFC"/>
    <w:rsid w:val="009D2FC1"/>
    <w:rsid w:val="00A526AE"/>
    <w:rsid w:val="00A74E90"/>
    <w:rsid w:val="00A87497"/>
    <w:rsid w:val="00A87A41"/>
    <w:rsid w:val="00AA5F89"/>
    <w:rsid w:val="00AE7577"/>
    <w:rsid w:val="00AF0AEA"/>
    <w:rsid w:val="00AF3CD3"/>
    <w:rsid w:val="00B048F2"/>
    <w:rsid w:val="00B06DC0"/>
    <w:rsid w:val="00B14E97"/>
    <w:rsid w:val="00B53E88"/>
    <w:rsid w:val="00B8766B"/>
    <w:rsid w:val="00B9755F"/>
    <w:rsid w:val="00BE760C"/>
    <w:rsid w:val="00BF2CDB"/>
    <w:rsid w:val="00C200E2"/>
    <w:rsid w:val="00C41E8A"/>
    <w:rsid w:val="00C51FE6"/>
    <w:rsid w:val="00C57A67"/>
    <w:rsid w:val="00CF69F0"/>
    <w:rsid w:val="00D05825"/>
    <w:rsid w:val="00D16DAA"/>
    <w:rsid w:val="00D22CF9"/>
    <w:rsid w:val="00D23053"/>
    <w:rsid w:val="00D40DE7"/>
    <w:rsid w:val="00D538E7"/>
    <w:rsid w:val="00D53CA1"/>
    <w:rsid w:val="00DA5C1B"/>
    <w:rsid w:val="00DD051C"/>
    <w:rsid w:val="00E03AEE"/>
    <w:rsid w:val="00E06847"/>
    <w:rsid w:val="00E11D52"/>
    <w:rsid w:val="00E14CD4"/>
    <w:rsid w:val="00E22570"/>
    <w:rsid w:val="00E31D39"/>
    <w:rsid w:val="00E32636"/>
    <w:rsid w:val="00E44A65"/>
    <w:rsid w:val="00EA7853"/>
    <w:rsid w:val="00EB24CC"/>
    <w:rsid w:val="00EF17F5"/>
    <w:rsid w:val="00F00B01"/>
    <w:rsid w:val="00F17CE8"/>
    <w:rsid w:val="00F251B3"/>
    <w:rsid w:val="00F53655"/>
    <w:rsid w:val="00F80E19"/>
    <w:rsid w:val="00FA4216"/>
    <w:rsid w:val="00FA7DA8"/>
    <w:rsid w:val="00FE5809"/>
    <w:rsid w:val="00FE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ED"/>
  </w:style>
  <w:style w:type="paragraph" w:styleId="Heading1">
    <w:name w:val="heading 1"/>
    <w:basedOn w:val="Normal"/>
    <w:next w:val="Normal"/>
    <w:link w:val="Heading1Char"/>
    <w:uiPriority w:val="9"/>
    <w:qFormat/>
    <w:rsid w:val="007D07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7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ED"/>
    <w:pPr>
      <w:ind w:left="720"/>
      <w:contextualSpacing/>
    </w:pPr>
  </w:style>
  <w:style w:type="character" w:styleId="Hyperlink">
    <w:name w:val="Hyperlink"/>
    <w:basedOn w:val="DefaultParagraphFont"/>
    <w:uiPriority w:val="99"/>
    <w:unhideWhenUsed/>
    <w:rsid w:val="000143ED"/>
    <w:rPr>
      <w:color w:val="0000FF" w:themeColor="hyperlink"/>
      <w:u w:val="single"/>
    </w:rPr>
  </w:style>
  <w:style w:type="paragraph" w:styleId="FootnoteText">
    <w:name w:val="footnote text"/>
    <w:basedOn w:val="Normal"/>
    <w:link w:val="FootnoteTextChar"/>
    <w:uiPriority w:val="99"/>
    <w:semiHidden/>
    <w:unhideWhenUsed/>
    <w:rsid w:val="000143ED"/>
    <w:rPr>
      <w:sz w:val="20"/>
      <w:szCs w:val="20"/>
    </w:rPr>
  </w:style>
  <w:style w:type="character" w:customStyle="1" w:styleId="FootnoteTextChar">
    <w:name w:val="Footnote Text Char"/>
    <w:basedOn w:val="DefaultParagraphFont"/>
    <w:link w:val="FootnoteText"/>
    <w:uiPriority w:val="99"/>
    <w:semiHidden/>
    <w:rsid w:val="000143ED"/>
    <w:rPr>
      <w:sz w:val="20"/>
      <w:szCs w:val="20"/>
    </w:rPr>
  </w:style>
  <w:style w:type="character" w:styleId="FootnoteReference">
    <w:name w:val="footnote reference"/>
    <w:basedOn w:val="DefaultParagraphFont"/>
    <w:uiPriority w:val="99"/>
    <w:semiHidden/>
    <w:unhideWhenUsed/>
    <w:rsid w:val="000143ED"/>
    <w:rPr>
      <w:vertAlign w:val="superscript"/>
    </w:rPr>
  </w:style>
  <w:style w:type="paragraph" w:styleId="Header">
    <w:name w:val="header"/>
    <w:basedOn w:val="Normal"/>
    <w:link w:val="HeaderChar"/>
    <w:uiPriority w:val="99"/>
    <w:unhideWhenUsed/>
    <w:rsid w:val="000143ED"/>
    <w:pPr>
      <w:tabs>
        <w:tab w:val="center" w:pos="4680"/>
        <w:tab w:val="right" w:pos="9360"/>
      </w:tabs>
    </w:pPr>
  </w:style>
  <w:style w:type="character" w:customStyle="1" w:styleId="HeaderChar">
    <w:name w:val="Header Char"/>
    <w:basedOn w:val="DefaultParagraphFont"/>
    <w:link w:val="Header"/>
    <w:uiPriority w:val="99"/>
    <w:rsid w:val="000143ED"/>
  </w:style>
  <w:style w:type="paragraph" w:styleId="Footer">
    <w:name w:val="footer"/>
    <w:basedOn w:val="Normal"/>
    <w:link w:val="FooterChar"/>
    <w:uiPriority w:val="99"/>
    <w:unhideWhenUsed/>
    <w:rsid w:val="000143ED"/>
    <w:pPr>
      <w:tabs>
        <w:tab w:val="center" w:pos="4680"/>
        <w:tab w:val="right" w:pos="9360"/>
      </w:tabs>
    </w:pPr>
  </w:style>
  <w:style w:type="character" w:customStyle="1" w:styleId="FooterChar">
    <w:name w:val="Footer Char"/>
    <w:basedOn w:val="DefaultParagraphFont"/>
    <w:link w:val="Footer"/>
    <w:uiPriority w:val="99"/>
    <w:rsid w:val="000143ED"/>
  </w:style>
  <w:style w:type="table" w:styleId="TableGrid">
    <w:name w:val="Table Grid"/>
    <w:basedOn w:val="TableNormal"/>
    <w:uiPriority w:val="59"/>
    <w:rsid w:val="00036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17F5"/>
    <w:rPr>
      <w:color w:val="800080" w:themeColor="followedHyperlink"/>
      <w:u w:val="single"/>
    </w:rPr>
  </w:style>
  <w:style w:type="paragraph" w:styleId="BalloonText">
    <w:name w:val="Balloon Text"/>
    <w:basedOn w:val="Normal"/>
    <w:link w:val="BalloonTextChar"/>
    <w:uiPriority w:val="99"/>
    <w:semiHidden/>
    <w:unhideWhenUsed/>
    <w:rsid w:val="00AA5F89"/>
    <w:rPr>
      <w:rFonts w:ascii="Tahoma" w:hAnsi="Tahoma" w:cs="Tahoma"/>
      <w:sz w:val="16"/>
      <w:szCs w:val="16"/>
    </w:rPr>
  </w:style>
  <w:style w:type="character" w:customStyle="1" w:styleId="BalloonTextChar">
    <w:name w:val="Balloon Text Char"/>
    <w:basedOn w:val="DefaultParagraphFont"/>
    <w:link w:val="BalloonText"/>
    <w:uiPriority w:val="99"/>
    <w:semiHidden/>
    <w:rsid w:val="00AA5F89"/>
    <w:rPr>
      <w:rFonts w:ascii="Tahoma" w:hAnsi="Tahoma" w:cs="Tahoma"/>
      <w:sz w:val="16"/>
      <w:szCs w:val="16"/>
    </w:rPr>
  </w:style>
  <w:style w:type="character" w:customStyle="1" w:styleId="Heading1Char">
    <w:name w:val="Heading 1 Char"/>
    <w:basedOn w:val="DefaultParagraphFont"/>
    <w:link w:val="Heading1"/>
    <w:uiPriority w:val="9"/>
    <w:rsid w:val="007D07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78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ED"/>
  </w:style>
  <w:style w:type="paragraph" w:styleId="Heading1">
    <w:name w:val="heading 1"/>
    <w:basedOn w:val="Normal"/>
    <w:next w:val="Normal"/>
    <w:link w:val="Heading1Char"/>
    <w:uiPriority w:val="9"/>
    <w:qFormat/>
    <w:rsid w:val="007D07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7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ED"/>
    <w:pPr>
      <w:ind w:left="720"/>
      <w:contextualSpacing/>
    </w:pPr>
  </w:style>
  <w:style w:type="character" w:styleId="Hyperlink">
    <w:name w:val="Hyperlink"/>
    <w:basedOn w:val="DefaultParagraphFont"/>
    <w:uiPriority w:val="99"/>
    <w:unhideWhenUsed/>
    <w:rsid w:val="000143ED"/>
    <w:rPr>
      <w:color w:val="0000FF" w:themeColor="hyperlink"/>
      <w:u w:val="single"/>
    </w:rPr>
  </w:style>
  <w:style w:type="paragraph" w:styleId="FootnoteText">
    <w:name w:val="footnote text"/>
    <w:basedOn w:val="Normal"/>
    <w:link w:val="FootnoteTextChar"/>
    <w:uiPriority w:val="99"/>
    <w:semiHidden/>
    <w:unhideWhenUsed/>
    <w:rsid w:val="000143ED"/>
    <w:rPr>
      <w:sz w:val="20"/>
      <w:szCs w:val="20"/>
    </w:rPr>
  </w:style>
  <w:style w:type="character" w:customStyle="1" w:styleId="FootnoteTextChar">
    <w:name w:val="Footnote Text Char"/>
    <w:basedOn w:val="DefaultParagraphFont"/>
    <w:link w:val="FootnoteText"/>
    <w:uiPriority w:val="99"/>
    <w:semiHidden/>
    <w:rsid w:val="000143ED"/>
    <w:rPr>
      <w:sz w:val="20"/>
      <w:szCs w:val="20"/>
    </w:rPr>
  </w:style>
  <w:style w:type="character" w:styleId="FootnoteReference">
    <w:name w:val="footnote reference"/>
    <w:basedOn w:val="DefaultParagraphFont"/>
    <w:uiPriority w:val="99"/>
    <w:semiHidden/>
    <w:unhideWhenUsed/>
    <w:rsid w:val="000143ED"/>
    <w:rPr>
      <w:vertAlign w:val="superscript"/>
    </w:rPr>
  </w:style>
  <w:style w:type="paragraph" w:styleId="Header">
    <w:name w:val="header"/>
    <w:basedOn w:val="Normal"/>
    <w:link w:val="HeaderChar"/>
    <w:uiPriority w:val="99"/>
    <w:unhideWhenUsed/>
    <w:rsid w:val="000143ED"/>
    <w:pPr>
      <w:tabs>
        <w:tab w:val="center" w:pos="4680"/>
        <w:tab w:val="right" w:pos="9360"/>
      </w:tabs>
    </w:pPr>
  </w:style>
  <w:style w:type="character" w:customStyle="1" w:styleId="HeaderChar">
    <w:name w:val="Header Char"/>
    <w:basedOn w:val="DefaultParagraphFont"/>
    <w:link w:val="Header"/>
    <w:uiPriority w:val="99"/>
    <w:rsid w:val="000143ED"/>
  </w:style>
  <w:style w:type="paragraph" w:styleId="Footer">
    <w:name w:val="footer"/>
    <w:basedOn w:val="Normal"/>
    <w:link w:val="FooterChar"/>
    <w:uiPriority w:val="99"/>
    <w:unhideWhenUsed/>
    <w:rsid w:val="000143ED"/>
    <w:pPr>
      <w:tabs>
        <w:tab w:val="center" w:pos="4680"/>
        <w:tab w:val="right" w:pos="9360"/>
      </w:tabs>
    </w:pPr>
  </w:style>
  <w:style w:type="character" w:customStyle="1" w:styleId="FooterChar">
    <w:name w:val="Footer Char"/>
    <w:basedOn w:val="DefaultParagraphFont"/>
    <w:link w:val="Footer"/>
    <w:uiPriority w:val="99"/>
    <w:rsid w:val="000143ED"/>
  </w:style>
  <w:style w:type="table" w:styleId="TableGrid">
    <w:name w:val="Table Grid"/>
    <w:basedOn w:val="TableNormal"/>
    <w:uiPriority w:val="59"/>
    <w:rsid w:val="00036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17F5"/>
    <w:rPr>
      <w:color w:val="800080" w:themeColor="followedHyperlink"/>
      <w:u w:val="single"/>
    </w:rPr>
  </w:style>
  <w:style w:type="paragraph" w:styleId="BalloonText">
    <w:name w:val="Balloon Text"/>
    <w:basedOn w:val="Normal"/>
    <w:link w:val="BalloonTextChar"/>
    <w:uiPriority w:val="99"/>
    <w:semiHidden/>
    <w:unhideWhenUsed/>
    <w:rsid w:val="00AA5F89"/>
    <w:rPr>
      <w:rFonts w:ascii="Tahoma" w:hAnsi="Tahoma" w:cs="Tahoma"/>
      <w:sz w:val="16"/>
      <w:szCs w:val="16"/>
    </w:rPr>
  </w:style>
  <w:style w:type="character" w:customStyle="1" w:styleId="BalloonTextChar">
    <w:name w:val="Balloon Text Char"/>
    <w:basedOn w:val="DefaultParagraphFont"/>
    <w:link w:val="BalloonText"/>
    <w:uiPriority w:val="99"/>
    <w:semiHidden/>
    <w:rsid w:val="00AA5F89"/>
    <w:rPr>
      <w:rFonts w:ascii="Tahoma" w:hAnsi="Tahoma" w:cs="Tahoma"/>
      <w:sz w:val="16"/>
      <w:szCs w:val="16"/>
    </w:rPr>
  </w:style>
  <w:style w:type="character" w:customStyle="1" w:styleId="Heading1Char">
    <w:name w:val="Heading 1 Char"/>
    <w:basedOn w:val="DefaultParagraphFont"/>
    <w:link w:val="Heading1"/>
    <w:uiPriority w:val="9"/>
    <w:rsid w:val="007D07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7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ai.unc.edu/" TargetMode="External"/><Relationship Id="rId13" Type="http://schemas.openxmlformats.org/officeDocument/2006/relationships/hyperlink" Target="http://sils.unc.edu/programs/msls/policie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gniteshow.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unc.edu/guides/" TargetMode="External"/><Relationship Id="rId5" Type="http://schemas.openxmlformats.org/officeDocument/2006/relationships/webSettings" Target="webSettings.xml"/><Relationship Id="rId15" Type="http://schemas.openxmlformats.org/officeDocument/2006/relationships/hyperlink" Target="http://honor.unc.edu/" TargetMode="External"/><Relationship Id="rId10" Type="http://schemas.openxmlformats.org/officeDocument/2006/relationships/hyperlink" Target="http://www.lib.unc.edu/coursepages/" TargetMode="External"/><Relationship Id="rId4" Type="http://schemas.openxmlformats.org/officeDocument/2006/relationships/settings" Target="settings.xml"/><Relationship Id="rId9" Type="http://schemas.openxmlformats.org/officeDocument/2006/relationships/hyperlink" Target="https://www.training.nih.gov/writing_professional_e-mail" TargetMode="External"/><Relationship Id="rId14" Type="http://schemas.openxmlformats.org/officeDocument/2006/relationships/hyperlink" Target="http://sils.unc.edu/programs/msls/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ahpoole</dc:creator>
  <cp:lastModifiedBy>ils960</cp:lastModifiedBy>
  <cp:revision>2</cp:revision>
  <cp:lastPrinted>2014-01-09T16:42:00Z</cp:lastPrinted>
  <dcterms:created xsi:type="dcterms:W3CDTF">2014-04-03T12:13:00Z</dcterms:created>
  <dcterms:modified xsi:type="dcterms:W3CDTF">2014-04-03T12:13:00Z</dcterms:modified>
</cp:coreProperties>
</file>